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FeinGehG</w:t>
      </w:r>
    </w:p>
    <w:p>
      <w:r>
        <w:rPr>
          <w:color w:val="555555"/>
          <w:sz w:val="18"/>
        </w:rPr>
        <w:t xml:space="preserve">Gesetz über den Feingehalt der Gold- und Silberwaren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Gold- und Silberwaren, welche mit anderen metallischen Stoffen ausgefüllt sind, darf der Feingehalt nicht angegeben werden.</w:t>
      </w:r>
    </w:p>
    <w:p>
      <w:r>
        <w:t xml:space="preserve">(2) Dasselbe gilt von Gold- und Silberwaren, mit welchen aus anderen Metallen bestehende Verstärkungsvorrichtungen metallisch verbunden sind.</w:t>
      </w:r>
    </w:p>
    <w:p>
      <w:r>
        <w:t xml:space="preserve">(3) Bei Ermittlung des Feingehalts bleiben alle von dem zu stempelnden Metall verschiedenen, äußerlich als solche erkennbaren Metalle außer Betracht, welche:</w:t>
      </w:r>
    </w:p>
    <w:p>
      <w:pPr>
        <w:ind w:left="420"/>
      </w:pPr>
      <w:r>
        <w:t xml:space="preserve">1. zur Verzierung der Ware dienen;</w:t>
      </w:r>
    </w:p>
    <w:p>
      <w:pPr>
        <w:ind w:left="420"/>
      </w:pPr>
      <w:r>
        <w:t xml:space="preserve">2. zur Herstellung mechanischer Vorrichtungen erforderlich sind;</w:t>
      </w:r>
    </w:p>
    <w:p>
      <w:pPr>
        <w:ind w:left="420"/>
      </w:pPr>
      <w:r>
        <w:t xml:space="preserve">3. als Verstärkungsvorrichtungen ohne metallische Verbindung sich darstellen.</w:t>
      </w:r>
    </w:p>
    <w:p>
      <w:r>
        <w:rPr>
          <w:color w:val="555555"/>
          <w:sz w:val="17"/>
        </w:rPr>
        <w:t xml:space="preserve">Zitiervorschlag: § 8 FeinGehG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https://recht.nulegal.eu/gesetze/FeinGehG/8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