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FeinGehG</w:t>
      </w:r>
    </w:p>
    <w:p>
      <w:r>
        <w:rPr>
          <w:color w:val="555555"/>
          <w:sz w:val="18"/>
        </w:rPr>
        <w:t xml:space="preserve">Gesetz über den Feingehalt der Gold- und Silberwaren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dem Ausland eingeführte Gold- und Silberwaren, deren Feingehalt durch eine diesem Gesetz nicht entsprechende Bezeichnung angegeben ist, dürfen nur dann feilgehalten werden, wenn sie außerdem mit einem Stempelzeichen nach Maßgabe dieses Gesetzes versehen sind.</w:t>
      </w:r>
    </w:p>
    <w:p>
      <w:r>
        <w:rPr>
          <w:color w:val="555555"/>
          <w:sz w:val="17"/>
        </w:rPr>
        <w:t xml:space="preserve">Zitiervorschlag: § 6 FeinGehG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https://recht.nulegal.eu/gesetze/FeinGehG/6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