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FeinGehG</w:t>
      </w:r>
    </w:p>
    <w:p>
      <w:r>
        <w:rPr>
          <w:color w:val="555555"/>
          <w:sz w:val="18"/>
        </w:rPr>
        <w:t xml:space="preserve">Gesetz über den Feingehalt der Gold- und Silberwaren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Schmucksachen von Gold und Silber dürfen in jedem Feingehalt gestempelt werden und ist in diesem Fall der letztere in Tausendteilen anzugeben.</w:t>
      </w:r>
    </w:p>
    <w:p>
      <w:r>
        <w:t xml:space="preserve">(2) Die Fehlergrenze darf zehn Tausendteile nicht überschreiten, wenn der Gegenstand im Ganzen eingeschmolzen wird.</w:t>
      </w:r>
    </w:p>
    <w:p>
      <w:r>
        <w:t xml:space="preserve">(3) Das gemäß § 3 bestimmte Stempelzeichen darf auf Schmucksachen von Gold und Silber nicht angebracht werden.</w:t>
      </w:r>
    </w:p>
    <w:p>
      <w:r>
        <w:rPr>
          <w:color w:val="555555"/>
          <w:sz w:val="17"/>
        </w:rPr>
        <w:t xml:space="preserve">Zitiervorschlag: § 5 FeinGehG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https://recht.nulegal.eu/gesetze/FeinGehG/5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