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FeinGehG</w:t>
      </w:r>
    </w:p>
    <w:p>
      <w:r>
        <w:rPr>
          <w:color w:val="555555"/>
          <w:sz w:val="18"/>
        </w:rPr>
        <w:t xml:space="preserve">Gesetz über den Feingehalt der Gold- und Silberwaren</w:t>
      </w:r>
    </w:p>
    <w:p>
      <w:r>
        <w:rPr>
          <w:color w:val="555555"/>
          <w:sz w:val="18"/>
        </w:rPr>
        <w:t xml:space="preserve">Stand: 10.06.2019 (konsolidierte Textfassung, kein amtliches Inkrafttretensdatum)</w:t>
      </w:r>
    </w:p>
    <w:p>
      <w:r>
        <w:t xml:space="preserve">Die Angabe des Feingehalts auf goldenen und silbernen Geräten geschieht durch ein Stempelzeichen, welches die Zahl der Tausendteile und die Firma des Geschäfts, für welches die Stempelung bewirkt ist, kenntlich macht. Das Bundesministerium für Wirtschaft und Energie wird ermächtigt, durch Rechtsverordnung mit Zustimmung des Bundesrates die Form des Stempelzeichens zu bestimmen.</w:t>
      </w:r>
    </w:p>
    <w:p>
      <w:r>
        <w:rPr>
          <w:color w:val="555555"/>
          <w:sz w:val="17"/>
        </w:rPr>
        <w:t xml:space="preserve">Zitiervorschlag: § 3 FeinGehG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https://recht.nulegal.eu/gesetze/FeinGehG/3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