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FeinGehG</w:t>
      </w:r>
    </w:p>
    <w:p>
      <w:r>
        <w:rPr>
          <w:color w:val="555555"/>
          <w:sz w:val="18"/>
        </w:rPr>
        <w:t xml:space="preserve">Gesetz über den Feingehalt der Gold- und Silberwaren</w:t>
      </w:r>
    </w:p>
    <w:p>
      <w:r>
        <w:rPr>
          <w:color w:val="555555"/>
          <w:sz w:val="18"/>
        </w:rPr>
        <w:t xml:space="preserve">Stand: 10.06.2019 (konsolidierte Textfassung, kein amtliches Inkrafttretensdatum)</w:t>
      </w:r>
    </w:p>
    <w:p>
      <w:r>
        <w:t xml:space="preserve">(1) Auf goldenen Geräten darf der Feingehalt nur in 585 oder mehr Tausendteilen, auf silbernen Geräten nur in 800 oder mehr Tausendteilen angegeben werden.</w:t>
      </w:r>
    </w:p>
    <w:p>
      <w:r>
        <w:t xml:space="preserve">(2) Der wirkliche Feingehalt darf weder im Ganzen der Ware noch auch in deren einzelnen Bestandteilen bei goldenen Geräten mehr als fünf, bei silbernen Geräten mehr als acht Tausendteile unter dem angegebenen Feingehalt bleiben. Vorbehaltlich dieser Abweichung muß der Gegenstand im Ganzen und mit der Lötung eingeschmolzen den angegebenen Feingehalt haben.</w:t>
      </w:r>
    </w:p>
    <w:p>
      <w:r>
        <w:rPr>
          <w:color w:val="555555"/>
          <w:sz w:val="17"/>
        </w:rPr>
        <w:t xml:space="preserve">Zitiervorschlag: § 2 FeinGehG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https://recht.nulegal.eu/gesetze/FeinGehG/2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