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FeiertEVDBest 1</w:t>
      </w:r>
    </w:p>
    <w:p>
      <w:r>
        <w:rPr>
          <w:color w:val="555555"/>
          <w:sz w:val="18"/>
        </w:rPr>
        <w:t xml:space="preserve">Erste Durchführungsbestimmung zur Verordnung über die Einführung gesetzlicher Feiertage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 der Verordnung vom 16. Mai 1990 über die Einführung gesetzlicher Feiertage (GBl. I Nr. 27 S. 248) wird folgendes bestimmt:</w:t>
      </w:r>
    </w:p>
    <w:p>
      <w:r>
        <w:rPr>
          <w:color w:val="555555"/>
          <w:sz w:val="17"/>
        </w:rPr>
        <w:t xml:space="preserve">Zitiervorschlag: Eingangsformel FeiertEVDBest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https://recht.nulegal.eu/gesetze/FeiertEVDBest%201/eingangsformel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