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FeiertEV</w:t>
      </w:r>
    </w:p>
    <w:p>
      <w:r>
        <w:rPr>
          <w:color w:val="555555"/>
          <w:sz w:val="18"/>
        </w:rPr>
        <w:t xml:space="preserve">Verordnung über die Einführung gesetzlicher Feiertage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Durch den Minister für Arbeit und Soziales sind bis zur Bildung von Ländern unter Beachtung der territorialen und konfessionellen Spezifik die erforderlichen Durchführungsbestimmungen zu erlassen.</w:t>
      </w:r>
    </w:p>
    <w:p>
      <w:r>
        <w:rPr>
          <w:color w:val="555555"/>
          <w:sz w:val="17"/>
        </w:rPr>
        <w:t xml:space="preserve">Zitiervorschlag: § 2 FeiertEV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https://recht.nulegal.eu/gesetze/FeiertEV/2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