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FeiertEV</w:t>
      </w:r>
    </w:p>
    <w:p>
      <w:r>
        <w:rPr>
          <w:color w:val="555555"/>
          <w:sz w:val="18"/>
        </w:rPr>
        <w:t xml:space="preserve">Verordnung über die Einführung gesetzlicher Feiertage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gesetzliche Feiertage werden wieder eingeführt:</w:t>
      </w:r>
    </w:p>
    <w:p>
      <w:pPr>
        <w:ind w:left="420"/>
      </w:pPr>
      <w:r>
        <w:t xml:space="preserve">Christi HimmelfahrtFronleichnam(für Territorien mit überwiegend katholischer Bevölkerung)Reformationstag(für Territorien mit überwiegend evangelischer Bevölkerung)Allerheiligen(für Territorien mit überwiegend katholischer Bevölkerung)Buß- und Bettag(für Territorien mit überwiegend evangelischer Bevölkerung).</w:t>
      </w:r>
    </w:p>
    <w:p>
      <w:r>
        <w:rPr>
          <w:color w:val="555555"/>
          <w:sz w:val="17"/>
        </w:rPr>
        <w:t xml:space="preserve">Zitiervorschlag: § 1 FeiertEV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https://recht.nulegal.eu/gesetze/FeiertEV/1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