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FeV2010AusnV 3</w:t>
      </w:r>
    </w:p>
    <w:p>
      <w:r>
        <w:rPr>
          <w:color w:val="555555"/>
          <w:sz w:val="18"/>
        </w:rPr>
        <w:t xml:space="preserve">Dritte Verordnung über Ausnahmen von den Vorschriften der Fahrerlaubnis-Verordnung</w:t>
      </w:r>
    </w:p>
    <w:p>
      <w:r>
        <w:rPr>
          <w:color w:val="555555"/>
          <w:sz w:val="18"/>
        </w:rPr>
        <w:t xml:space="preserve">Historische Fassung: Stand 10.06.2019 bis 03.05.2020. Dies ist nicht die aktuelle Fassung.</w:t>
      </w:r>
    </w:p>
    <w:p>
      <w:r>
        <w:t xml:space="preserve">Diese Verordnung tritt am 1. Mai 2013 in Kraft. Sie tritt mit Ablauf des 30. April 2020 außer Kraft.</w:t>
      </w:r>
    </w:p>
    <w:p>
      <w:r>
        <w:rPr>
          <w:color w:val="555555"/>
          <w:sz w:val="17"/>
        </w:rPr>
        <w:t xml:space="preserve">Zitiervorschlag: § 2 FeV2010AusnV 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https://recht.nulegal.eu/gesetze/FeV2010AusnV%203/2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