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FeV2010AusnV 2</w:t>
      </w:r>
    </w:p>
    <w:p>
      <w:r>
        <w:rPr>
          <w:color w:val="555555"/>
          <w:sz w:val="18"/>
        </w:rPr>
        <w:t xml:space="preserve">Zweite Verordnung über Ausnahmen von den Vorschriften der Fahrerlaubnis-Verordnung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Absatz 1 Nummer 1 Buchstabe w in Verbindung mit § 6 Absatz 3 des Straßenverkehrsgesetzes, von denen § 6 Absatz 1 Nummer 1 Buchstabe w durch Artikel 1 Buchstabe a Doppelbuchstabe cc des Gesetzes vom 3. Mai 2005 (BGBl. I S. 1221) geändert worden ist, verordnet das Bundesministerium für Verkehr, Bau und Stadtentwicklung nach Anhörung der zuständigen obersten Landesbehörden:</w:t>
      </w:r>
    </w:p>
    <w:p>
      <w:r>
        <w:rPr>
          <w:color w:val="555555"/>
          <w:sz w:val="17"/>
        </w:rPr>
        <w:t xml:space="preserve">Zitiervorschlag: Eingangsformel FeV2010AusnV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https://recht.nulegal.eu/gesetze/FeV2010AusnV%202/eingangsformel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