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FeV 2010 — Ausschluss des Vorbesitzes einer Fahrerlaubnis der beantragten Klasse</w:t>
      </w:r>
    </w:p>
    <w:p>
      <w:r>
        <w:rPr>
          <w:color w:val="555555"/>
          <w:sz w:val="18"/>
        </w:rPr>
        <w:t xml:space="preserve">Fahrerlaubnis-Verordnung</w:t>
      </w:r>
    </w:p>
    <w:p>
      <w:r>
        <w:rPr>
          <w:color w:val="555555"/>
          <w:sz w:val="18"/>
        </w:rPr>
        <w:t xml:space="preserve">Stand: 10.06.2019 (konsolidierte Textfassung, kein amtliches Inkrafttretensdatum)</w:t>
      </w:r>
    </w:p>
    <w:p>
      <w:r>
        <w:t xml:space="preserve">Eine Fahrerlaubnis der beantragten Klasse darf nur erteilt werden, wenn der Bewerber keine in einem Mitgliedstaat der Europäischen Union oder einem anderen Vertragsstaat des Abkommens über den Europäischen Wirtschaftsraum erteilte Fahrerlaubnis (EU- oder EWR-Fahrerlaubnis) dieser Klasse besitzt.</w:t>
      </w:r>
    </w:p>
    <w:p>
      <w:r>
        <w:rPr>
          <w:color w:val="555555"/>
          <w:sz w:val="17"/>
        </w:rPr>
        <w:t xml:space="preserve">Zitiervorschlag: § 8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