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76a FeV 2010 — Besondere Anwendungsbestimmungen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19.08.2026 (konsolidierte Textfassung, kein amtliches Inkrafttretensdatum)</w:t>
      </w:r>
    </w:p>
    <w:p>
      <w:r>
        <w:t xml:space="preserve">Anlage 7 Nummer 1.3 Satz 4 Buchstabe m und n ist ab dem 1. April 2027 anzuwenden.</w:t>
      </w:r>
    </w:p>
    <w:p>
      <w:r>
        <w:rPr>
          <w:color w:val="555555"/>
          <w:sz w:val="17"/>
        </w:rPr>
        <w:t xml:space="preserve">Zitiervorschlag: § 76a FeV 2010</w:t>
      </w:r>
    </w:p>
    <w:p>
      <w:r>
        <w:rPr>
          <w:color w:val="555555"/>
          <w:sz w:val="17"/>
        </w:rPr>
        <w:t xml:space="preserve">Quelle: Bundesamt für Justiz, abgerufen 19.08.2026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https://recht.nulegal.eu/gesetze/FeV%202010/76a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