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6c FeV 2010 — Sonderbestimmungen für das Führen von Einsatzfahrzeugen der Freiwilligen Feuerwehren, der nach Landesrecht anerkannten Rettungsdienste, des Technischen Hilfswerks und des Katastrophenschutzes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30.07.2021 (konsolidierte Textfassung, kein amtliches Inkrafttretensdatum)</w:t>
      </w:r>
    </w:p>
    <w:p>
      <w:r>
        <w:t xml:space="preserve">Die Landesregierungen werden ermächtigt, durch Rechtsverordnung besondere Bestimmungen zu erlassen über</w:t>
      </w:r>
    </w:p>
    <w:p>
      <w:pPr>
        <w:ind w:left="420"/>
      </w:pPr>
      <w:r>
        <w:t xml:space="preserve">1. die Erteilung der Berechtigung zum Führen von Einsatzfahrzeugen der Freiwilligen Feuerwehren, der nach Landesrecht anerkannten Rettungsdienste, des Technischen Hilfswerks oder des Katastrophenschutzes auf öffentlichen Straßen nach § 2 Absatz 10a des Straßenverkehrsgesetzes,</w:t>
      </w:r>
    </w:p>
    <w:p>
      <w:pPr>
        <w:ind w:left="420"/>
      </w:pPr>
      <w:r>
        <w:t xml:space="preserve">2. die Prüfung zur Erlangung dieser Berechtigung und</w:t>
      </w:r>
    </w:p>
    <w:p>
      <w:pPr>
        <w:ind w:left="420"/>
      </w:pPr>
      <w:r>
        <w:t xml:space="preserve">3. die Einweisung in das Führen solcher Einsatzfahrzeuge.</w:t>
      </w:r>
    </w:p>
    <w:p>
      <w:r>
        <w:t xml:space="preserve">Bei der näheren Ausgestaltung sind die Besonderheiten der unterschiedlichen Gewichtsklassen der Fahrberechtigung nach § 2 Absatz 10a Satz 1 und 4 des Straßenverkehrsgesetzes zu berücksichtigen.</w:t>
      </w:r>
    </w:p>
    <w:p>
      <w:r>
        <w:rPr>
          <w:color w:val="555555"/>
          <w:sz w:val="17"/>
        </w:rPr>
        <w:t xml:space="preserve">Zitiervorschlag: § 6c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