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FeV 2010 — Fahrerlaubnis der Klasse B mit der Schlüsselzahl 196</w:t>
      </w:r>
    </w:p>
    <w:p>
      <w:r>
        <w:rPr>
          <w:color w:val="555555"/>
          <w:sz w:val="18"/>
        </w:rPr>
        <w:t xml:space="preserve">Fahrerlaubnis-Verordnung</w:t>
      </w:r>
    </w:p>
    <w:p>
      <w:r>
        <w:rPr>
          <w:color w:val="555555"/>
          <w:sz w:val="18"/>
        </w:rPr>
        <w:t xml:space="preserve">Stand: 10.01.2020 (konsolidierte Textfassung, kein amtliches Inkrafttretensdatum)</w:t>
      </w:r>
    </w:p>
    <w:p>
      <w:r>
        <w:t xml:space="preserve">(1) Die Fahrerlaubnis der Klasse B kann mit der Schlüsselzahl 196 erteilt werden für Krafträder(auch mit Beiwagen) mit einem Hubraum von bis zu 125 cm3, einer Motorleistung von nicht mehr als 11 kW, bei denen das Verhältnis der Leistung zum Gewicht 0,1 kW/kg nicht übersteigt. Die Schlüsselzahl 196 darf nur zugeteilt werden, wenn der Teilnehmer bereits seit mindestens fünf Jahren die Fahrerlaubnis der Klasse B besitzt. Die Regelungen der Anlage 3 bleiben unberührt. Die Berechtigung nach Satz 1 gilt nur im Inland.</w:t>
      </w:r>
    </w:p>
    <w:p>
      <w:r>
        <w:t xml:space="preserve">(2) Das Mindestalter für die Erteilung der Fahrerlaubnis der Klasse B mit der Schlüsselzahl 196 beträgt 25 Jahre.</w:t>
      </w:r>
    </w:p>
    <w:p>
      <w:r>
        <w:t xml:space="preserve">(3) Für die Eintragung der Schlüsselzahl 196 in die Fahrerlaubnis der Klasse B bedarf es einer Fahrerschulung. Die Inhalte der Fahrerschulung ergeben sich aus der Anlage 7b.</w:t>
      </w:r>
    </w:p>
    <w:p>
      <w:r>
        <w:t xml:space="preserve">(4) Beim Antrag auf Eintragung der Schlüsselzahl 196 in die Klasse B ist vor deren Eintragung der Nachweis einer Fahrerschulung nach dem Muster nach Anlage 7b beizubringen.</w:t>
      </w:r>
    </w:p>
    <w:p>
      <w:r>
        <w:t xml:space="preserve">(5) Der Zeitraum zwischen dem Abschluss der Fahrerschulung und der Eintragung der Schlüsselzahl 196 darf ein Jahr nicht überschreiten.</w:t>
      </w:r>
    </w:p>
    <w:p>
      <w:r>
        <w:t xml:space="preserve">(6) Die Auswirkungen der Absätze 1 bis 5 werden von der Bundesanstalt für Straßenwesen evaluiert. Mit der Evaluierung wird insbesondere die Wirkung im Hinblick auf die Verkehrssicherheit untersucht. Die Bundesanstalt für Straßenwesen legt das Ergebnis der Evaluierung bis zum 1. Juli 2022 dem Bundesministerium für Verkehr und digitale Infrastruktur vor. Für Zwecke der Evaluation dürfen personenbezogene Daten der Teilnehmer nach Maßgabe des Bundesdatenschutzgesetzes erhoben und verwendet werden. Die Daten sind spätestens am 31. Dezember 2023 zu löschen oder so zu anonymisieren oder zu pseudonymisieren, dass ein Personenbezug nicht mehr hergestellt werden kann.</w:t>
      </w:r>
    </w:p>
    <w:p>
      <w:r>
        <w:rPr>
          <w:color w:val="555555"/>
          <w:sz w:val="17"/>
        </w:rPr>
        <w:t xml:space="preserve">Zitiervorschlag: § 6b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