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FeV 2010 — Stellen für die Schulung in Erster Hilfe</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Stellen, die Schulungen in Erster Hilfe für den Erwerb einer Fahrerlaubnis durchführen, bedürfen der amtlichen Anerkennung durch die für das Fahrerlaubniswesen oder das Gesundheitswesen zuständige oberste Landesbehörde oder durch die von ihr bestimmte oder nach Landesrecht zuständige Stelle. Einer Anerkennung nach Satz 1 bedarf es nicht für Stellen, die ein Unfallversicherungsträger nach einer von ihm nach § 15 Absatz 1, auch in Verbindung mit Absatz 1a, des Siebten Buches Sozialgesetzbuch erlassenen Unfallverhütungsvorschrift über Grundsätze der Prävention für die Ausbildung zur Ersten Hilfe ermächtigt hat und vom Unfallversicherungsträger öffentlich bekannt gemacht sind. Schulungen einer der in Satz 2 genannten Ausbildungsstellen können für die Zwecke dieser Verordnung durch die oberste Landesbehörde oder die von ihr bestimmte oder nach Landesrecht zuständige Stelle für ihren jeweiligen Zuständigkeitsbereich untersagt werden, wenn die Ausbildungsstelle wiederholt die Pflichten aus der durch den Träger der Unfallversicherung erteilten Ermächtigung verletzt hat. Die zuständige Behörde gibt die in Satz 1 genannten Stellen öffentlich bekannt.</w:t>
      </w:r>
    </w:p>
    <w:p>
      <w:r>
        <w:t xml:space="preserve">(2) Die Anerkennung ist zu erteilen, wenn</w:t>
      </w:r>
    </w:p>
    <w:p>
      <w:pPr>
        <w:ind w:left="420"/>
      </w:pPr>
      <w:r>
        <w:t xml:space="preserve">1. keine Tatsachen vorliegen, die den Antragsteller, bei juristischen Personen die nach dem Gesetz oder der Satzung zur Vertretung berechtigten Personen, und das Ausbildungspersonal für die Schulung in Erster Hilfe als unzuverlässig erscheinen lassen und</w:t>
      </w:r>
    </w:p>
    <w:p>
      <w:pPr>
        <w:ind w:left="420"/>
      </w:pPr>
      <w:r>
        <w:t xml:space="preserve">2. die Befähigung für das Ausbildungspersonal nachgewiesen ist sowie geeignete Ausbildungsräume und die notwendigen Lehrmittel für den theoretischen Unterricht und die praktischen Übungen zur Verfügung stehen.</w:t>
      </w:r>
    </w:p>
    <w:p>
      <w:r>
        <w:t xml:space="preserve">Die nach Absatz 1 zuständige oberste Landesbehörde oder die von ihr bestimmte oder nach Landesrecht zuständige Stelle kann zur Vorbereitung ihrer Entscheidung die Beibringung eines Gutachtens einer fachlich geeigneten Stelle oder Person darüber anordnen, ob die Voraussetzungen für die Anerkennung gegeben sind. Die Anerkennung kann befristet und mit Auflagen, insbesondere hinsichtlich der Fortbildung der mit der Schulung befassten Personen, verbunden werden, um die ordnungsgemäßen Schulungen sicherzustellen. Die Anerkennung ist zurückzunehmen, wenn bei ihrer Erteilung eine der Voraussetzungen nach Satz 1 nicht vorgelegen hat; davon kann abgesehen werden, wenn der Mangel nicht mehr besteht. Die Anerkennung ist zu widerrufen, wenn nachträglich eine der Voraussetzungen nach Satz 1 weggefallen ist, wenn die Schulungen wiederholt nicht ordnungsgemäß durchgeführt worden sind oder wenn sonst gegen die Pflichten aus der Anerkennung oder gegen Auflagen gröblich verstoßen worden ist. Die für das Fahrerlaubniswesen oder das Gesundheitswesen zuständige oberste Landesbehörde oder die von ihr bestimmte oder nach Landesrecht zuständige Stelle übt die Aufsicht über die Inhaber der Anerkennung aus. Die die Aufsicht führende Stelle kann selbst prüfen oder durch von ihr bestimmte Sachverständige prüfen lassen, ob die Voraussetzungen für die Anerkennung noch gegeben sind, ob die Schulungen ordnungsgemäß durchgeführt und ob die sich sonst aus der Anerkennung oder den Auflagen ergebenden Pflichten erfüllt werden. Satz 7 gilt auch für die Stellen nach Absatz 1 Satz 2.</w:t>
      </w:r>
    </w:p>
    <w:p>
      <w:r>
        <w:t xml:space="preserve">(3) Die Unfallversicherungsträger und die nach Absatz 2 Satz 7 Aufsicht führenden Stellen unterrichten sich gegenseitig über Untersagungen nach Absatz 1 Satz 3 sowie Rücknahmen und Widerrufe nach Absatz 2 Satz 4 und 5.</w:t>
      </w:r>
    </w:p>
    <w:p>
      <w:r>
        <w:rPr>
          <w:color w:val="555555"/>
          <w:sz w:val="17"/>
        </w:rPr>
        <w:t xml:space="preserve">Zitiervorschlag: § 68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