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FeV 2010 — Identitätsnachweis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31.10.2019 (konsolidierte Textfassung, kein amtliches Inkrafttretensdatum)</w:t>
      </w:r>
    </w:p>
    <w:p>
      <w:r>
        <w:t xml:space="preserve">(1) Als Identitätsnachweis bei Auskünften nach § 30 Absatz 8 oder § 58 des Straßenverkehrsgesetzes werden anerkannt</w:t>
      </w:r>
    </w:p>
    <w:p>
      <w:pPr>
        <w:ind w:left="420"/>
      </w:pPr>
      <w:r>
        <w:t xml:space="preserve">1. die amtliche Beglaubigung der Unterschrift,</w:t>
      </w:r>
    </w:p>
    <w:p>
      <w:pPr>
        <w:ind w:left="420"/>
      </w:pPr>
      <w:r>
        <w:t xml:space="preserve">2. die Ablichtung des Personalausweises oder des Passes,</w:t>
      </w:r>
    </w:p>
    <w:p>
      <w:pPr>
        <w:ind w:left="420"/>
      </w:pPr>
      <w:r>
        <w:t xml:space="preserve">3. bei persönlicher Antragstellung der Personalausweis, der Pass oder der behördliche Dienstausweis oder</w:t>
      </w:r>
    </w:p>
    <w:p>
      <w:pPr>
        <w:ind w:left="420"/>
      </w:pPr>
      <w:r>
        <w:t xml:space="preserve">4. bei elektronischer Antragstellung der elektronische Identitätsnachweis nach § 18 des Personalausweisgesetzes, § 12 des eID-Karte-Gesetzes oder nach § 78 Absatz 5 des Aufenthaltsgesetzes.</w:t>
      </w:r>
    </w:p>
    <w:p>
      <w:r>
        <w:t xml:space="preserve">(2) Für die Auskunft an einen beauftragten Rechtsanwalt ist die Vorlage einer entsprechenden Vollmachtserklärung oder einer Fotokopie hiervon erforderlich.</w:t>
      </w:r>
    </w:p>
    <w:p>
      <w:r>
        <w:rPr>
          <w:color w:val="555555"/>
          <w:sz w:val="17"/>
        </w:rPr>
        <w:t xml:space="preserve">Zitiervorschlag: § 64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