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FeV 2010 — Abruf im automatisierten Verfahren nach § 30a des Straßenverkehrsgesetzes</w:t>
      </w:r>
    </w:p>
    <w:p>
      <w:r>
        <w:rPr>
          <w:color w:val="555555"/>
          <w:sz w:val="18"/>
        </w:rPr>
        <w:t xml:space="preserve">Fahrerlaubnis-Verordnung</w:t>
      </w:r>
    </w:p>
    <w:p>
      <w:r>
        <w:rPr>
          <w:color w:val="555555"/>
          <w:sz w:val="18"/>
        </w:rPr>
        <w:t xml:space="preserve">Stand: 01.06.2026 (konsolidierte Textfassung, kein amtliches Inkrafttretensdatum)</w:t>
      </w:r>
    </w:p>
    <w:p>
      <w:r>
        <w:t xml:space="preserve">(1) Zur Übermittlung nach § 30a Absatz 1 und 3 des Straßenverkehrsgesetzes durch Abruf im automatisierten Verfahren dürfen folgende Daten bereitgehalten werden:</w:t>
      </w:r>
    </w:p>
    <w:p>
      <w:pPr>
        <w:ind w:left="420"/>
      </w:pPr>
      <w:r>
        <w:t xml:space="preserve">1. Familiennamen, Geburtsnamen, sonstige frühere Namen, soweit hierzu Eintragungen vorliegen, Vornamen, Ordens- oder Künstlernamen, Doktorgrad, Geschlecht, Tag und Ort der Geburt, Anschrift des Betroffenen, Staatsangehörigkeit sowie Hinweise auf Zweifel an der Identität gemäß § 28 Absatz 5 des Straßenverkehrsgesetzes,</w:t>
      </w:r>
    </w:p>
    <w:p>
      <w:pPr>
        <w:ind w:left="420"/>
      </w:pPr>
      <w:r>
        <w:t xml:space="preserve">2. die Tatsache, ob über die betreffende Person Eintragungen vorhanden sind,</w:t>
      </w:r>
    </w:p>
    <w:p>
      <w:pPr>
        <w:ind w:left="420"/>
      </w:pPr>
      <w:r>
        <w:t xml:space="preserve">3. die Eintragungen über Ordnungswidrigkeiten mit den Angaben über</w:t>
      </w:r>
    </w:p>
    <w:p>
      <w:pPr>
        <w:ind w:left="780"/>
      </w:pPr>
      <w:r>
        <w:t xml:space="preserve">a) die entscheidende Stelle, den Tag der Entscheidung und die Geschäftsnummer oder das Aktenzeichen, die mitteilende Stelle und den Tag der Mitteilung, den Tag der Rechtskraft,</w:t>
      </w:r>
    </w:p>
    <w:p>
      <w:pPr>
        <w:ind w:left="780"/>
      </w:pPr>
      <w:r>
        <w:t xml:space="preserve">b) Ort, Tag und Zeit der Tat, die Angabe, ob die Tat im Zusammenhang mit einem Verkehrsunfall steht, die Art der Verkehrsteilnahme sowie die Fahrzeugart,</w:t>
      </w:r>
    </w:p>
    <w:p>
      <w:pPr>
        <w:ind w:left="780"/>
      </w:pPr>
      <w:r>
        <w:t xml:space="preserve">c) die rechtliche Bezeichnung der Tat unter Angabe der anzuwendenden Vorschriften, die Höhe der Geldbuße und das Fahrverbot,</w:t>
      </w:r>
    </w:p>
    <w:p>
      <w:pPr>
        <w:ind w:left="780"/>
      </w:pPr>
      <w:r>
        <w:t xml:space="preserve">d) bei einem Fahrverbot den Hinweis auf § 25 Absatz 3 des Straßenverkehrsgesetzes und den Tag des Fristablaufs,</w:t>
      </w:r>
    </w:p>
    <w:p>
      <w:pPr>
        <w:ind w:left="780"/>
      </w:pPr>
      <w:r>
        <w:t xml:space="preserve">e) die Fahrerlaubnis nach § 59 Absatz 1 Nummer 8,</w:t>
      </w:r>
    </w:p>
    <w:p>
      <w:pPr>
        <w:ind w:left="780"/>
      </w:pPr>
      <w:r>
        <w:t xml:space="preserve">f) die vorgeschriebene Einstufung als besonders verkehrssicherheitsbeeinträchtigende Ordnungswidrigkeit mit zwei Punkten oder als verkehrssicherheitsbeeinträchtigende Ordnungswidrigkeit mit einem Punkt und die entsprechende Kennziffer,</w:t>
      </w:r>
    </w:p>
    <w:p>
      <w:pPr>
        <w:ind w:left="420"/>
      </w:pPr>
      <w:r>
        <w:t xml:space="preserve">4. die Angaben über die Fahrerlaubnis (Klasse, Art und etwaige Beschränkungen) sowie</w:t>
      </w:r>
    </w:p>
    <w:p>
      <w:pPr>
        <w:ind w:left="780"/>
      </w:pPr>
      <w:r>
        <w:t xml:space="preserve">a) die unanfechtbare Versagung einer Fahrerlaubnis, einschließlich der Ablehnung der Verlängerung einer befristeten Fahrerlaubnis,</w:t>
      </w:r>
    </w:p>
    <w:p>
      <w:pPr>
        <w:ind w:left="780"/>
      </w:pPr>
      <w:r>
        <w:t xml:space="preserve">b) die rechtskräftige Anordnung einer Fahrerlaubnissperre und der Tag des Ablaufs der Sperrfrist,</w:t>
      </w:r>
    </w:p>
    <w:p>
      <w:pPr>
        <w:ind w:left="780"/>
      </w:pPr>
      <w:r>
        <w:t xml:space="preserve">c) die rechtskräftige oder vorläufige Entziehung einer Fahrerlaubnis und der Tag des Ablaufs der Sperrfrist,</w:t>
      </w:r>
    </w:p>
    <w:p>
      <w:pPr>
        <w:ind w:left="780"/>
      </w:pPr>
      <w:r>
        <w:t xml:space="preserve">d) die unanfechtbare oder sofort vollziehbare Entziehung oder Rücknahme sowie der unanfechtbare oder sofort vollziehbare Widerruf einer Fahrerlaubnis,</w:t>
      </w:r>
    </w:p>
    <w:p>
      <w:pPr>
        <w:ind w:left="780"/>
      </w:pPr>
      <w:r>
        <w:t xml:space="preserve">e) das Bestehen eines rechtskräftigen Fahrverbots unter Angabe des Tages des Ablaufs des Verbots,</w:t>
      </w:r>
    </w:p>
    <w:p>
      <w:pPr>
        <w:ind w:left="780"/>
      </w:pPr>
      <w:r>
        <w:t xml:space="preserve">f) die rechtskräftige Aberkennung des Rechts, von einer ausländischen Fahrerlaubnis Gebrauch zu machen, und der Tag des Ablaufs der Sperrfrist sowie die Feststellung über die fehlende Fahrberechtigung,</w:t>
      </w:r>
    </w:p>
    <w:p>
      <w:pPr>
        <w:ind w:left="780"/>
      </w:pPr>
      <w:r>
        <w:t xml:space="preserve">g) die Beschlagnahme, Sicherstellung oder Verwahrung des Führerscheins nach § 94 der Strafprozessordnung und</w:t>
      </w:r>
    </w:p>
    <w:p>
      <w:pPr>
        <w:ind w:left="780"/>
      </w:pPr>
      <w:r>
        <w:t xml:space="preserve">h) der Verzicht auf eine Fahrerlaubnis,</w:t>
      </w:r>
    </w:p>
    <w:p>
      <w:pPr>
        <w:ind w:left="420"/>
      </w:pPr>
      <w:r>
        <w:t xml:space="preserve">jeweils mit den Angaben über die Geschäftsnummer oder das Aktenzeichen, die mitteilende Stelle und den Tag der Mitteilung, die Rechtsgrundlagen sowie den Angaben über die Fahrerlaubnis nach § 59 Absatz 1 Nummer 8 und darüber hinaus bei Buchstaben a bis g die entscheidende Stelle, den Tag der Entscheidung sowie den Grund der Maßnahme oder bei Buchstabe h den Tag des Zugangs des Verzichts bei der zuständigen Behörde,</w:t>
      </w:r>
    </w:p>
    <w:p>
      <w:pPr>
        <w:ind w:left="420"/>
      </w:pPr>
      <w:r>
        <w:t xml:space="preserve">5. die Eintragungen nach § 28 Absatz 3 Nummer 1 und 2 des Straßenverkehrsgesetzes über Entscheidungen der Strafgerichte mit den Angaben über</w:t>
      </w:r>
    </w:p>
    <w:p>
      <w:pPr>
        <w:ind w:left="780"/>
      </w:pPr>
      <w:r>
        <w:t xml:space="preserve">a) die entscheidende Stelle, den Tag des ersten Urteils oder bei Strafbefehlen den Tag der Unterzeichnung durch den Richter, die Geschäftsnummer oder das Aktenzeichen, die mitteilende Stelle und den Tag der Mitteilung, den Tag der Rechtskraft,</w:t>
      </w:r>
    </w:p>
    <w:p>
      <w:pPr>
        <w:ind w:left="780"/>
      </w:pPr>
      <w:r>
        <w:t xml:space="preserve">b) Ort, Tag und Zeit der Tat, die Angaben, ob die Tat im Zusammenhang mit einem Verkehrsunfall steht, die Art der Verkehrsteilnahme sowie die Fahrzeugart,</w:t>
      </w:r>
    </w:p>
    <w:p>
      <w:pPr>
        <w:ind w:left="780"/>
      </w:pPr>
      <w:r>
        <w:t xml:space="preserve">c) die rechtliche Bezeichnung der Tat unter Angabe der angewendeten Vorschriften, die Haupt- und Nebenstrafe, die nach § 59 des Strafgesetzbuches vorbehaltene Strafe, das Absehen von Strafe, die Maßregeln der Besserung und Sicherung, die Erziehungsmaßregeln, die Zuchtmittel und die Jugendstrafe, die Geldstrafe, die rechtskräftige oder vorläufige Entziehung der Fahrerlaubnis und den Tag des Ablaufs der Sperrfrist, die Anordnung einer Fahrerlaubnissperre und den Tag des Ablaufs der Sperrfrist, das Bestehen eines rechtskräftigen Fahrverbots unter Angabe des Ablaufs des Verbots sowie die vorgeschriebene Einstufung als Straftat mit Entziehung der Fahrerlaubnis oder mit isolierter Sperre mit drei Punkten oder als Straftat ohne Entziehung der Fahrerlaubnis und ohne isolierte Sperre mit zwei Punkten und die entsprechende Kennziffer,</w:t>
      </w:r>
    </w:p>
    <w:p>
      <w:pPr>
        <w:ind w:left="780"/>
      </w:pPr>
      <w:r>
        <w:t xml:space="preserve">d) bei einem Fahrverbot den Hinweis auf § 25 Absatz 3 des Straßenverkehrsgesetzes oder § 44 Absatz 3 Satz 1 und 2 des Strafgesetzbuches und den Tag des Fristablaufs,</w:t>
      </w:r>
    </w:p>
    <w:p>
      <w:pPr>
        <w:ind w:left="780"/>
      </w:pPr>
      <w:r>
        <w:t xml:space="preserve">e) die Angaben über die Fahrerlaubnis nach § 59 Absatz 1 Nummer 8,</w:t>
      </w:r>
    </w:p>
    <w:p>
      <w:pPr>
        <w:ind w:left="420"/>
      </w:pPr>
      <w:r>
        <w:t xml:space="preserve">6. die Eintragungen nach § 28 Absatz 3 Nummer 9 des Straßenverkehrsgesetzes über Entscheidungen der Justizbehörden bei Beschlagnahme, Sicherstellung oder Verwahrung des Führerscheins oder über die vorläufige Entziehung des Führerscheins nach § 94 oder § 111a der Strafprozessordnung mit den Angaben über die entscheidende Stelle, den Tag der Maßnahme und die Geschäftsnummer oder das Aktenzeichen, die mitteilende Stelle und den Tag der Mitteilung und Angaben über die Fahrerlaubnis nach § 59 Absatz 1 Nummer 8.</w:t>
      </w:r>
    </w:p>
    <w:p>
      <w:r>
        <w:t xml:space="preserve">(2) Der Abruf darf nur unter Verwendung der Angaben zur Person erfolgen.</w:t>
      </w:r>
    </w:p>
    <w:p>
      <w:r>
        <w:t xml:space="preserve">(3) § 60 Absatz 1 bis 5 findet entsprechende Anwendung.</w:t>
      </w:r>
    </w:p>
    <w:p>
      <w:r>
        <w:t xml:space="preserve">(4) (weggefallen)</w:t>
      </w:r>
    </w:p>
    <w:p>
      <w:r>
        <w:t xml:space="preserve">(5) (weggefallen)</w:t>
      </w:r>
    </w:p>
    <w:p>
      <w:r>
        <w:t xml:space="preserve">(6) Wegen der Sicherung gegen Missbrauch ist § 54 und wegen der Aufzeichnungen der Abrufe § 55 anzuwenden.</w:t>
      </w:r>
    </w:p>
    <w:p>
      <w:r>
        <w:t xml:space="preserve">(7) Im Rahmen von § 30 Absatz 7 des Straßenverkehrsgesetzes dürfen die in § 30a Absatz 5 des Straßenverkehrsgesetzes genannten Daten aus dem Fahreignungsregister durch Abruf im automatisierten Verfahren den in § 60 Absatz 6 genannten Stellen in einem Mitgliedstaat der Europäischen Union oder in einem anderen Vertragsstaat des Abkommens über den Europäischen Wirtschaftsraum übermittelt werden.</w:t>
      </w:r>
    </w:p>
    <w:p>
      <w:r>
        <w:rPr>
          <w:color w:val="555555"/>
          <w:sz w:val="17"/>
        </w:rPr>
        <w:t xml:space="preserve">Zitiervorschlag: § 61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