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FeV 2010 — Übermittlung von Daten nach § 30 des Straßenverkehrsgesetzes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(1) Für Maßnahmen wegen Straftaten oder Ordnungswidrigkeiten werden gemäß § 30 Absatz 1 Nummer 1 und 2 des Straßenverkehrsgesetzes die auf Grund des § 28 Absatz 3 Nummer 1 bis 3 des Straßenverkehrsgesetzes nach § 59 Absatz 1 dieser Verordnung gespeicherten Daten und – soweit Kenntnis über den Besitz von Fahrerlaubnissen und Führerscheinen sowie über die Berechtigung zum Führen von Kraftfahrzeugen erforderlich ist – die auf Grund des § 28 Absatz 3 Nummer 1 bis 9 des Straßenverkehrsgesetzes nach § 59 Absatz 1 dieser Verordnung gespeicherten Daten übermittelt.</w:t>
      </w:r>
    </w:p>
    <w:p>
      <w:r>
        <w:t xml:space="preserve">(2) Für Verwaltungsmaßnahmen nach dem Straßenverkehrsgesetz oder dieser Verordnung werden gemäß § 30 Absatz 1 Nummer 3 des Straßenverkehrsgesetzes die auf Grund des § 28 Absatz 3 des Straßenverkehrsgesetzes nach § 59 Absatz 1 dieser Verordnung gespeicherten Daten übermittelt. Für Verwaltungsmaßnahmen nach der Straßenverkehrs-Zulassungs-Ordnung wegen der Zustimmung der zuständigen Behörden zur Betrauung mit der Durchführung der Untersuchungen nach § 29 der Straßenverkehrs-Zulassungs-Ordnung (Nummer 3.7 der Anlage VIIIb der Straßenverkehrs-Zulassungs-Ordnung) werden gemäß § 30 Absatz 1 Nummer 3 des Straßenverkehrsgesetzes die auf Grund des § 28 Absatz 3 Nummer 1 bis 9 des Straßenverkehrsgesetzes nach § 59 Absatz 1 dieser Verordnung gespeicherten Daten übermittelt. Für Verwaltungsmaßnahmen nach der Straßenverkehrs-Zulassungs-Ordnung wegen</w:t>
      </w:r>
    </w:p>
    <w:p>
      <w:pPr>
        <w:ind w:left="420"/>
      </w:pPr>
      <w:r>
        <w:t xml:space="preserve">1. der Anerkennung von Kraftfahrzeugwerkstätten zur Durchführung von Sicherheitsprüfungen nach Anlage VIIIc der Straßenverkehrs-Zulassungs-Ordnung,</w:t>
      </w:r>
    </w:p>
    <w:p>
      <w:pPr>
        <w:ind w:left="420"/>
      </w:pPr>
      <w:r>
        <w:t xml:space="preserve">2. der Anerkennung von Überwachungsorganisationen nach Anlage VIIIb der Straßenverkehrs-Zulassungs-Ordnung,</w:t>
      </w:r>
    </w:p>
    <w:p>
      <w:pPr>
        <w:ind w:left="420"/>
      </w:pPr>
      <w:r>
        <w:t xml:space="preserve">3. der Anerkennung von Kraftfahrzeugwerkstätten zur Durchführung von Abgasuntersuchungen nach Anlage VIIIc der Straßenverkehrs-Zulassungs-Ordnung und für die Zuteilung von roten Kennzeichen nach § 41 Absatz 4 oder § 43 der Fahrzeug-Zulassungsverordnung</w:t>
      </w:r>
    </w:p>
    <w:p>
      <w:r>
        <w:t xml:space="preserve">werden gemäß § 30 Absatz 1 Nummer 3 des Straßenverkehrsgesetzes die auf Grund des § 28 Absatz 3 Nummer 1 bis 3 des Straßenverkehrsgesetzes nach § 59 Absatz 1 dieser Verordnung gespeicherten Daten übermittelt.</w:t>
      </w:r>
    </w:p>
    <w:p>
      <w:r>
        <w:t xml:space="preserve">(3) Für Verwaltungsmaßnahmen</w:t>
      </w:r>
    </w:p>
    <w:p>
      <w:pPr>
        <w:ind w:left="420"/>
      </w:pPr>
      <w:r>
        <w:t xml:space="preserve">1. nach dem Fahrlehrergesetz oder den auf Grund dieses Gesetzes erlassenen Rechtsvorschriften,</w:t>
      </w:r>
    </w:p>
    <w:p>
      <w:pPr>
        <w:ind w:left="420"/>
      </w:pPr>
      <w:r>
        <w:t xml:space="preserve">2. nach dem Kraftfahrsachverständigengesetz oder den auf Grund dieses Gesetzes erlassenen Rechtsvorschriften,</w:t>
      </w:r>
    </w:p>
    <w:p>
      <w:pPr>
        <w:ind w:left="420"/>
      </w:pPr>
      <w:r>
        <w:t xml:space="preserve">3. nach dem Gesetz über das Fahrpersonal im Straßenverkehr oder den auf Grund dieses Gesetzes erlassenen Rechtsvorschriften</w:t>
      </w:r>
    </w:p>
    <w:p>
      <w:r>
        <w:t xml:space="preserve">werden gemäß § 30 Absatz 2 des Straßenverkehrsgesetzes die auf Grund des § 28 Absatz 3 Nummer 1 bis 9 des Straßenverkehrsgesetzes nach § 59 Absatz 1 – für Verwaltungsmaßnahmen nach Nummer 1 zusätzlich nach § 59 Absatz 2 – dieser Verordnung gespeicherten Daten übermittelt. Für Verwaltungsmaßnahmen</w:t>
      </w:r>
    </w:p>
    <w:p>
      <w:pPr>
        <w:ind w:left="420"/>
      </w:pPr>
      <w:r>
        <w:t xml:space="preserve">1. auf Grund der gesetzlichen Bestimmungen über die Notfallrettung und den Krankentransport,</w:t>
      </w:r>
    </w:p>
    <w:p>
      <w:pPr>
        <w:ind w:left="420"/>
      </w:pPr>
      <w:r>
        <w:t xml:space="preserve">2. nach dem Personenbeförderungsgesetz oder den auf Grund dieses Gesetzes erlassenen Rechtsvorschriften,</w:t>
      </w:r>
    </w:p>
    <w:p>
      <w:pPr>
        <w:ind w:left="420"/>
      </w:pPr>
      <w:r>
        <w:t xml:space="preserve">3. nach dem Güterkraftverkehrsgesetz oder den auf Grund dieses Gesetzes erlassenen Rechtsvorschriften,</w:t>
      </w:r>
    </w:p>
    <w:p>
      <w:pPr>
        <w:ind w:left="420"/>
      </w:pPr>
      <w:r>
        <w:t xml:space="preserve">4. nach dem Gesetz über die Beförderung gefährlicher Güter oder den auf Grund dieses Gesetzes erlassenen Rechtsvorschriften</w:t>
      </w:r>
    </w:p>
    <w:p>
      <w:r>
        <w:t xml:space="preserve">werden gemäß § 30 Absatz 2 des Straßenverkehrsgesetzes die auf Grund des § 28 Absatz 3 Nummer 1 bis 3 des Straßenverkehrsgesetzes nach § 59 Absatz 1 dieser Verordnung gespeicherten Daten übermittelt.</w:t>
      </w:r>
    </w:p>
    <w:p>
      <w:r>
        <w:t xml:space="preserve">(4) Für Verkehrs- und Grenzkontrollen gemäß § 30 Absatz 3 des Straßenverkehrsgesetzes werden die auf Grund des § 28 Absatz 3 Nummer 1, sofern die Entziehung der Fahrerlaubnis, eine isolierte Sperre oder ein Fahrverbot angeordnet wurde, Nummer 2, 3 Buchstabe a Doppelbuchstabe aa, Buchstabe b und Nummer 4 bis 9 des Straßenverkehrsgesetzes nach § 59 Absatz 1 dieser Verordnung gespeicherten Daten übermittelt.</w:t>
      </w:r>
    </w:p>
    <w:p>
      <w:r>
        <w:t xml:space="preserve">(5) Für luftverkehrsrechtliche Maßnahmen nach § 30 Absatz 4 des Straßenverkehrsgesetzes, schiffsverkehrsrechtliche Maßnahmen nach § 30 Absatz 4a des Straßenverkehrsgesetzes und eisenbahnverkehrsrechtliche Maßnahmen nach § 30 Absatz 4b des Straßenverkehrsgesetzes werden die auf Grund des § 28 Absatz 3 Nummer 1 bis 9 des Straßenverkehrsgesetzes nach § 59 Absatz 1 dieser Verordnung gespeicherten Daten übermittelt.</w:t>
      </w:r>
    </w:p>
    <w:p>
      <w:r>
        <w:t xml:space="preserve">(6) Im Rahmen des § 30 Absatz 7 des Straßenverkehrsgesetzes werden die auf Grund des § 28 Absatz 3 Nummer 1 bis 9 des Straßenverkehrsgesetzes nach § 59 Absatz 1 dieser Verordnung gespeicherten Daten</w:t>
      </w:r>
    </w:p>
    <w:p>
      <w:pPr>
        <w:ind w:left="420"/>
      </w:pPr>
      <w:r>
        <w:t xml:space="preserve">1. für Verwaltungsmaßnahmen auf dem Gebiet des Straßenverkehrs den Straßenverkehrsbehörden und</w:t>
      </w:r>
    </w:p>
    <w:p>
      <w:pPr>
        <w:ind w:left="420"/>
      </w:pPr>
      <w:r>
        <w:t xml:space="preserve">2. für die Verfolgung von Zuwiderhandlungen gegen Rechtsvorschriften auf dem Gebiet des Straßenverkehrs oder für die Verfolgung von Straftaten den Polizei- und Justizbehörden</w:t>
      </w:r>
    </w:p>
    <w:p>
      <w:r>
        <w:t xml:space="preserve">unmittelbar übermittelt, wenn nicht der Empfängerstaat mitgeteilt hat, dass andere Behörden zuständig sind.</w:t>
      </w:r>
    </w:p>
    <w:p>
      <w:r>
        <w:rPr>
          <w:color w:val="555555"/>
          <w:sz w:val="17"/>
        </w:rPr>
        <w:t xml:space="preserve">Zitiervorschlag: § 60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