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FeV 2010 — Speicherung von Daten im Fahreignungsregister</w:t>
      </w:r>
    </w:p>
    <w:p>
      <w:r>
        <w:rPr>
          <w:color w:val="555555"/>
          <w:sz w:val="18"/>
        </w:rPr>
        <w:t xml:space="preserve">Fahrerlaubnis-Verordnung</w:t>
      </w:r>
    </w:p>
    <w:p>
      <w:r>
        <w:rPr>
          <w:color w:val="555555"/>
          <w:sz w:val="18"/>
        </w:rPr>
        <w:t xml:space="preserve">Stand: 01.06.2026 (konsolidierte Textfassung, kein amtliches Inkrafttretensdatum)</w:t>
      </w:r>
    </w:p>
    <w:p>
      <w:r>
        <w:t xml:space="preserve">(1) Im Fahreignungsregister sind im Rahmen von § 28 Absatz 3 des Straßenverkehrsgesetzes folgende Daten zu speichern:</w:t>
      </w:r>
    </w:p>
    <w:p>
      <w:pPr>
        <w:ind w:left="420"/>
      </w:pPr>
      <w:r>
        <w:t xml:space="preserve">1. Familiennamen, Geburtsnamen, sonstige frühere Namen, soweit hierzu Eintragungen vorliegen, Vornamen, Ordens- oder Künstlernamen, Doktorgrad, Geschlecht, Tag und Ort der Geburt, Anschrift des Betroffenen, Staatsangehörigkeit sowie Hinweise auf Zweifel an der Identität gemäß § 28 Absatz 5 des Straßenverkehrsgesetzes,</w:t>
      </w:r>
    </w:p>
    <w:p>
      <w:pPr>
        <w:ind w:left="420"/>
      </w:pPr>
      <w:r>
        <w:t xml:space="preserve">2. die entscheidende Stelle, der Tag der Entscheidung, die Geschäftsnummer oder das Aktenzeichen, die mitteilende Stelle und der Tag der Mitteilung,</w:t>
      </w:r>
    </w:p>
    <w:p>
      <w:pPr>
        <w:ind w:left="420"/>
      </w:pPr>
      <w:r>
        <w:t xml:space="preserve">3. Ort, Tag und Zeit der Tat, die Angabe, ob die Tat in Zusammenhang mit einem Verkehrsunfall steht, die Art der Verkehrsteilnahme sowie die Fahrzeugart,</w:t>
      </w:r>
    </w:p>
    <w:p>
      <w:pPr>
        <w:ind w:left="420"/>
      </w:pPr>
      <w:r>
        <w:t xml:space="preserve">4. der Tag des ersten Urteils oder bei einem Strafbefehl der Tag der Unterzeichnung durch den Richter sowie der Tag der Rechtskraft oder Unanfechtbarkeit, der Tag der Maßnahme nach den §§ 94 und 111a der Strafprozessordnung,</w:t>
      </w:r>
    </w:p>
    <w:p>
      <w:pPr>
        <w:ind w:left="420"/>
      </w:pPr>
      <w:r>
        <w:t xml:space="preserve">5. bei Entscheidungen wegen einer Straftat oder einer Ordnungswidrigkeit die rechtliche Bezeichnung der Tat unter Angabe der angewendeten Vorschriften, bei sonstigen Entscheidungen die Art, die Rechtsgrundlagen sowie bei verwaltungsbehördlichen Entscheidungen nach § 28 Absatz 3 Nummer 4, 5, 6 und 8 des Straßenverkehrsgesetzes der Grund der Entscheidung,</w:t>
      </w:r>
    </w:p>
    <w:p>
      <w:pPr>
        <w:ind w:left="420"/>
      </w:pPr>
      <w:r>
        <w:t xml:space="preserve">6. die Haupt- und Nebenstrafen, die nach § 59 des Strafgesetzbuches vorbehaltene Strafe, das Absehen von Strafe, die Maßregeln der Besserung und Sicherung, die Erziehungsmaßregeln, die Zuchtmittel oder die Jugendstrafe, die Geldbuße und das Fahrverbot, auch bei Gesamtstrafenbildung für die einbezogene Entscheidung,</w:t>
      </w:r>
    </w:p>
    <w:p>
      <w:pPr>
        <w:ind w:left="420"/>
      </w:pPr>
      <w:r>
        <w:t xml:space="preserve">7. die vorgeschriebene Einstufung als</w:t>
      </w:r>
    </w:p>
    <w:p>
      <w:pPr>
        <w:ind w:left="780"/>
      </w:pPr>
      <w:r>
        <w:t xml:space="preserve">a) Straftat mit Entziehung der Fahrerlaubnis oder mit isolierter Sperre mit drei Punkten,</w:t>
      </w:r>
    </w:p>
    <w:p>
      <w:pPr>
        <w:ind w:left="780"/>
      </w:pPr>
      <w:r>
        <w:t xml:space="preserve">b) Straftat ohne Entziehung der Fahrerlaubnis und ohne isolierte Sperre oder als besonders verkehrssicherheitsbeeinträchtigende Ordnungswidrigkeit mit zwei Punkten oder</w:t>
      </w:r>
    </w:p>
    <w:p>
      <w:pPr>
        <w:ind w:left="780"/>
      </w:pPr>
      <w:r>
        <w:t xml:space="preserve">c) verkehrssicherheitsbeeinträchtigende Ordnungswidrigkeit mit einem Punkt</w:t>
      </w:r>
    </w:p>
    <w:p>
      <w:pPr>
        <w:ind w:left="420"/>
      </w:pPr>
      <w:r>
        <w:t xml:space="preserve">und die entsprechende Kennziffer,</w:t>
      </w:r>
    </w:p>
    <w:p>
      <w:pPr>
        <w:ind w:left="420"/>
      </w:pPr>
      <w:r>
        <w:t xml:space="preserve">8. die Fahrerlaubnisdaten unter Angabe der Fahrerlaubnisnummer, der Art der Fahrerlaubnis, der Fahrerlaubnisklassen, der erteilenden Behörde und des Tages der Erteilung, soweit sie im Rahmen von Entscheidungen wegen Straftaten oder Ordnungswidrigkeiten dem Fahreignungsregister mitgeteilt sind,</w:t>
      </w:r>
    </w:p>
    <w:p>
      <w:pPr>
        <w:ind w:left="420"/>
      </w:pPr>
      <w:r>
        <w:t xml:space="preserve">9. bei einer Versagung, Entziehung oder Aberkennung des Rechts, von der Fahrerlaubnis im Inland Gebrauch zu machen, oder einer Feststellung über die fehlende Fahrberechtigung durch eine Fahrerlaubnisbehörde der Grund der Entscheidung und die entsprechende Kennziffer sowie den Tag des Ablaufs der Sperrfrist,</w:t>
      </w:r>
    </w:p>
    <w:p>
      <w:pPr>
        <w:ind w:left="420"/>
      </w:pPr>
      <w:r>
        <w:t xml:space="preserve">10. bei einem Verzicht auf die Fahrerlaubnis der Tag des Zugangs der Verzichtserklärung bei der zuständigen Behörde, sowie der Tag des Ablaufs der Sperrfrist,</w:t>
      </w:r>
    </w:p>
    <w:p>
      <w:pPr>
        <w:ind w:left="420"/>
      </w:pPr>
      <w:r>
        <w:t xml:space="preserve">11. bei einem Fahrverbot der Hinweis auf § 25 Absatz 3 des Straßenverkehrsgesetzes und der Tag des Fristablaufs sowie bei einem Verbot oder einer Beschränkung, ein fahrerlaubnisfreies Fahrzeug zu führen, der Tag des Ablaufs oder der Aufhebung der Maßnahme,</w:t>
      </w:r>
    </w:p>
    <w:p>
      <w:pPr>
        <w:ind w:left="420"/>
      </w:pPr>
      <w:r>
        <w:t xml:space="preserve">12. bei der Teilnahme an einem Fahreignungsseminar, einem Aufbauseminar, einem besonderen Aufbauseminar oder einer verkehrspsychologischen Beratung die rechtliche Grundlage, der Tag der Beendigung des Seminars, der Tag der Ausstellung der Teilnahmebescheinigung und der Tag, an dem die Bescheinigung der zuständigen Behörde vorgelegt wurde,</w:t>
      </w:r>
    </w:p>
    <w:p>
      <w:pPr>
        <w:ind w:left="420"/>
      </w:pPr>
      <w:r>
        <w:t xml:space="preserve">13. der Punktabzug auf Grund der freiwilligen Teilnahme an einem Fahreignungsseminar,</w:t>
      </w:r>
    </w:p>
    <w:p>
      <w:pPr>
        <w:ind w:left="420"/>
      </w:pPr>
      <w:r>
        <w:t xml:space="preserve">14. bei Maßnahmen nach § 2a Absatz 2 Satz 1 Nummer 1 und 2 und § 4 Absatz 5 Satz 1 Nummer 1 und 2 des Straßenverkehrsgesetzes die Behörde, der Tag und die Art der Maßnahme sowie die gesetzte Frist, die Geschäftsnummer oder das Aktenzeichen.</w:t>
      </w:r>
    </w:p>
    <w:p>
      <w:r>
        <w:t xml:space="preserve">(2) Über Entscheidungen und Erklärungen im Rahmen des § 59 Absatz 2 des Fahrlehrergesetzes werden gespeichert:</w:t>
      </w:r>
    </w:p>
    <w:p>
      <w:pPr>
        <w:ind w:left="420"/>
      </w:pPr>
      <w:r>
        <w:t xml:space="preserve">1. die Angaben zur Person nach Absatz 1 Nummer 1 mit Ausnahme des Hinweises auf Zweifel an der Identität,</w:t>
      </w:r>
    </w:p>
    <w:p>
      <w:pPr>
        <w:ind w:left="420"/>
      </w:pPr>
      <w:r>
        <w:t xml:space="preserve">2. die Angaben zur Entscheidung nach Absatz 1 Nummer 2,</w:t>
      </w:r>
    </w:p>
    <w:p>
      <w:pPr>
        <w:ind w:left="420"/>
      </w:pPr>
      <w:r>
        <w:t xml:space="preserve">3. Ort und Tag der Tat,</w:t>
      </w:r>
    </w:p>
    <w:p>
      <w:pPr>
        <w:ind w:left="420"/>
      </w:pPr>
      <w:r>
        <w:t xml:space="preserve">4. der Tag der Unanfechtbarkeit, sofortigen Vollziehbarkeit oder Rechtskraft der Entscheidung, des Ruhens oder des Erlöschens der Fahrlehrerlaubnis oder der Tag der Abgabe der Erklärung,</w:t>
      </w:r>
    </w:p>
    <w:p>
      <w:pPr>
        <w:ind w:left="420"/>
      </w:pPr>
      <w:r>
        <w:t xml:space="preserve">5. die Angaben zur Entscheidung nach Absatz 1 Nummer 5,</w:t>
      </w:r>
    </w:p>
    <w:p>
      <w:pPr>
        <w:ind w:left="420"/>
      </w:pPr>
      <w:r>
        <w:t xml:space="preserve">6. die Höhe der Geldbuße,</w:t>
      </w:r>
    </w:p>
    <w:p>
      <w:pPr>
        <w:ind w:left="420"/>
      </w:pPr>
      <w:r>
        <w:t xml:space="preserve">7. die Angaben zur Fahrlehrerlaubnis in entsprechender Anwendung des Absatzes 1 Nummer 8,</w:t>
      </w:r>
    </w:p>
    <w:p>
      <w:pPr>
        <w:ind w:left="420"/>
      </w:pPr>
      <w:r>
        <w:t xml:space="preserve">8. bei einer Versagung der Fahrlehrerlaubnis der Grund der Entscheidung,</w:t>
      </w:r>
    </w:p>
    <w:p>
      <w:pPr>
        <w:ind w:left="420"/>
      </w:pPr>
      <w:r>
        <w:t xml:space="preserve">9. der Hinweis aus dem Zentralen Fahrerlaubnisregister bei Erteilung einer Fahrlehrerlaubnis nach vorangegangener Versagung, Rücknahme und vorangegangenem Widerruf.</w:t>
      </w:r>
    </w:p>
    <w:p>
      <w:r>
        <w:t xml:space="preserve">(3) Enthält eine strafgerichtliche Entscheidung sowohl registerpflichtige als auch nicht registerpflichtige Teile, werden in Fällen der Tateinheit (§ 52 des Strafgesetzbuches) nur die registerpflichtigen Taten sowie die Folgen mit dem Hinweis aufgenommen, dass diese sich auch auf nicht registerpflichtige Taten beziehen. In Fällen der Tatmehrheit (§ 53 des Strafgesetzbuches und § 460 der Strafprozessordnung) sind die registerpflichtigen Taten mit ihren Einzelstrafen und einem Hinweis einzutragen, dass diese in einer Gesamtstrafe aufgegangen sind; ist auf eine einheitliche Jugendstrafe (§ 31 des Jugendgerichtsgesetzes) erkannt worden, wird nur die Verurteilung wegen der registerpflichtigen Straftaten, nicht aber die Höhe der Jugendstrafe eingetragen. Die Eintragung sonstiger Folgen bleibt unberührt.</w:t>
      </w:r>
    </w:p>
    <w:p>
      <w:r>
        <w:t xml:space="preserve">(4) Enthält eine Entscheidung wegen einer Ordnungswidrigkeit sowohl registerpflichtige als auch nicht registerpflichtige Teile, werden in Fällen der Tateinheit (§ 19 des Gesetzes über Ordnungswidrigkeiten) nur die registerpflichtigen Taten sowie die Folgen mit dem Hinweis eingetragen, dass sich die Geldbuße auch auf nicht registerpflichtige Taten bezieht. In Fällen der Tatmehrheit (§ 20 des Gesetzes über Ordnungswidrigkeiten) sind nur die registerpflichtigen Teile einzutragen.</w:t>
      </w:r>
    </w:p>
    <w:p>
      <w:r>
        <w:rPr>
          <w:color w:val="555555"/>
          <w:sz w:val="17"/>
        </w:rPr>
        <w:t xml:space="preserve">Zitiervorschlag: § 59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