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FeV 2010 — Übermittlung von Daten aus den örtlichen Fahrerlaubnisregistern</w:t>
      </w:r>
    </w:p>
    <w:p>
      <w:r>
        <w:rPr>
          <w:color w:val="555555"/>
          <w:sz w:val="18"/>
        </w:rPr>
        <w:t xml:space="preserve">Fahrerlaubnis-Verordnung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Für die Verfolgung von Straftaten, zur Vollstreckung und zum Vollzug von Strafen dürfen im Rahmen des § 52 Absatz 1 Nummer 1 des Straßenverkehrsgesetzes nur die nach § 57 Nummer 1 bis 10 und 12 bis 15 gespeicherten Daten übermittelt werden.</w:t>
      </w:r>
    </w:p>
    <w:p>
      <w:r>
        <w:t xml:space="preserve">(2) Für die Verfolgung von Ordnungswidrigkeiten und die Vollstreckung von Bußgeldbescheiden und ihren Nebenfolgen dürfen im Rahmen des § 52 Absatz 1 Nummer 2 des Straßenverkehrsgesetzes nur die nach § 57 Nummer 1 bis 10 und 12 bis 15 gespeicherten Daten übermittelt werden.</w:t>
      </w:r>
    </w:p>
    <w:p>
      <w:r>
        <w:t xml:space="preserve">(3) Für</w:t>
      </w:r>
    </w:p>
    <w:p>
      <w:pPr>
        <w:ind w:left="420"/>
      </w:pPr>
      <w:r>
        <w:t xml:space="preserve">1. die Erteilung, Verlängerung, Entziehung oder Beschränkung einer Fahrerlaubnis,</w:t>
      </w:r>
    </w:p>
    <w:p>
      <w:pPr>
        <w:ind w:left="420"/>
      </w:pPr>
      <w:r>
        <w:t xml:space="preserve">2. die Aberkennung oder Einschränkung des Rechts, von einer ausländischen Fahrerlaubnis Gebrauch zu machen,</w:t>
      </w:r>
    </w:p>
    <w:p>
      <w:pPr>
        <w:ind w:left="420"/>
      </w:pPr>
      <w:r>
        <w:t xml:space="preserve">3. das Verbot, ein Fahrzeug zu führen,</w:t>
      </w:r>
    </w:p>
    <w:p>
      <w:pPr>
        <w:ind w:left="420"/>
      </w:pPr>
      <w:r>
        <w:t xml:space="preserve">4. die Anordnung von Auflagen zu einer Fahrerlaubnis</w:t>
      </w:r>
    </w:p>
    <w:p>
      <w:r>
        <w:t xml:space="preserve">dürfen die Fahrerlaubnisbehörden einander im Rahmen des § 52 Absatz 1 Nummer 3 des Straßenverkehrsgesetzes nur die nach § 57 Nummer 1 bis 10 und 12 bis 15 gespeicherten Daten übermitteln.</w:t>
      </w:r>
    </w:p>
    <w:p>
      <w:r>
        <w:t xml:space="preserve">(4) Für Verkehrs- und Grenzkontrollen dürfen im Rahmen des § 52 Absatz 2 des Straßenverkehrsgesetzes nur die nach § 57 Nummer 1, 2, 4 bis 10 und 12 gespeicherten Daten übermittelt werden.</w:t>
      </w:r>
    </w:p>
    <w:p>
      <w:r>
        <w:t xml:space="preserve">(5) Die Daten nach den Absätzen 1, 2 und 4 dürfen für die dort genannten Zwecke aus dem örtlichen Fahrerlaubnisregister im automatisierten Verfahren abgerufen werden. § 52 Absatz 2, 3 und 5, §§ 54 und 55 Absatz 1 bis 3 sind entsprechend anzuwenden.</w:t>
      </w:r>
    </w:p>
    <w:p>
      <w:r>
        <w:rPr>
          <w:color w:val="555555"/>
          <w:sz w:val="17"/>
        </w:rPr>
        <w:t xml:space="preserve">Zitiervorschlag: § 58 FeV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https://recht.nulegal.eu/gesetze/FeV%202010/58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