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FeV 2010 — Abruf im automatisierten Verfahren aus dem Zentralen Fahrerlaubnisregister durch Stellen im Ausland nach § 56 des Straßenverkehrsgesetzes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Übermittlung aus dem Zentralen Fahrerlaubnisregister dürfen durch Abruf im automatisierten Verfahren</w:t>
      </w:r>
    </w:p>
    <w:p>
      <w:pPr>
        <w:ind w:left="420"/>
      </w:pPr>
      <w:r>
        <w:t xml:space="preserve">1. im Rahmen des § 55 Absatz 1 Nummer 1 des Straßenverkehrsgesetzes für Verwaltungsmaßnahmen nur die nach § 49 Absatz 1 Nummer 1 bis 3, 5 bis 11 und 12 bis 15 gespeicherten Daten,</w:t>
      </w:r>
    </w:p>
    <w:p>
      <w:pPr>
        <w:ind w:left="420"/>
      </w:pPr>
      <w:r>
        <w:t xml:space="preserve">2. im Rahmen des § 55 Absatz 1 Nummer 2 und 3 des Straßenverkehrsgesetzes für Maßnahmen wegen Straftaten oder Zuwiderhandlungen nur die nach § 49 Absatz 1 Nummer 1 bis 3, 5 bis 11 und 13 und 15 gespeicherten Daten</w:t>
      </w:r>
    </w:p>
    <w:p>
      <w:r>
        <w:t xml:space="preserve">bereitgehalten werden.</w:t>
      </w:r>
    </w:p>
    <w:p>
      <w:r>
        <w:t xml:space="preserve">(2) § 51 Absatz 2 (Empfänger der Daten), § 52 Absatz 2 (für den Abruf zu verwendende Daten), § 54 (Sicherung gegen Missbrauch) und § 55 (Aufzeichnung der Abrufe) sind entsprechend anzuwenden.</w:t>
      </w:r>
    </w:p>
    <w:p>
      <w:r>
        <w:rPr>
          <w:color w:val="555555"/>
          <w:sz w:val="17"/>
        </w:rPr>
        <w:t xml:space="preserve">Zitiervorschlag: § 56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