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48b FeV 2010 — Evaluation</w:t>
      </w:r>
    </w:p>
    <w:p>
      <w:r>
        <w:rPr>
          <w:color w:val="555555"/>
          <w:sz w:val="18"/>
        </w:rPr>
        <w:t xml:space="preserve">Fahrerlaubnis-Verordnung</w:t>
      </w:r>
    </w:p>
    <w:p>
      <w:r>
        <w:rPr>
          <w:color w:val="555555"/>
          <w:sz w:val="18"/>
        </w:rPr>
        <w:t xml:space="preserve">Stand: 10.06.2019 (konsolidierte Textfassung, kein amtliches Inkrafttretensdatum)</w:t>
      </w:r>
    </w:p>
    <w:p>
      <w:r>
        <w:t xml:space="preserve">Die für Zwecke der Evaluation erhobenen personenbezogene Daten der teilnehmenden Fahranfänger und Begleiter sind spätestens am 31. Dezember 2015 zu löschen oder so zu anonymisieren oder zu pseudonymisieren, dass ein Personenbezug nicht mehr hergestellt werden kann.</w:t>
      </w:r>
    </w:p>
    <w:p>
      <w:r>
        <w:rPr>
          <w:color w:val="555555"/>
          <w:sz w:val="17"/>
        </w:rPr>
        <w:t xml:space="preserve">Zitiervorschlag: § 48b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https://recht.nulegal.eu/gesetze/FeV%202010/48b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