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FeV 2010 — Fahrerlaubnis zur Fahrgastbeförderung</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Einer zusätzlichen Erlaubnis (Fahrerlaubnis zur Fahrgastbeförderung) bedarf, wer einen Krankenkraftwagen führt, wenn in dem Fahrzeug entgeltlich oder geschäftsmäßig Fahrgäste befördert werden, oder wer ein Kraftfahrzeug führt, wenn in dem Fahrzeug Fahrgäste befördert werden und für diese Beförderung eine Genehmigung nach dem Personenbeförderungsgesetz erforderlich ist.</w:t>
      </w:r>
    </w:p>
    <w:p>
      <w:r>
        <w:t xml:space="preserve">(2) Der Fahrerlaubnis zur Fahrgastbeförderung bedarf es nicht für</w:t>
      </w:r>
    </w:p>
    <w:p>
      <w:pPr>
        <w:ind w:left="420"/>
      </w:pPr>
      <w:r>
        <w:t xml:space="preserve">1. Krankenkraftwagen der Bundeswehr, der Bundespolizei, der Polizei sowie der Truppe und des zivilen Gefolges der anderen Vertragsstaaten des Nordatlantikpaktes,</w:t>
      </w:r>
    </w:p>
    <w:p>
      <w:pPr>
        <w:ind w:left="420"/>
      </w:pPr>
      <w:r>
        <w:t xml:space="preserve">2. Krankenkraftwagen des Katastrophenschutzes, wenn sie für dessen Zweck verwendet werden,</w:t>
      </w:r>
    </w:p>
    <w:p>
      <w:pPr>
        <w:ind w:left="420"/>
      </w:pPr>
      <w:r>
        <w:t xml:space="preserve">3. Krankenkraftwagen der Feuerwehren und der nach Landesrecht anerkannten Rettungsdienste,</w:t>
      </w:r>
    </w:p>
    <w:p>
      <w:pPr>
        <w:ind w:left="420"/>
      </w:pPr>
      <w:r>
        <w:t xml:space="preserve">4. Kraftfahrzeuge, wenn der Kraftfahrzeugführer im Besitz der Klasse D oder D1 ist.</w:t>
      </w:r>
    </w:p>
    <w:p>
      <w:r>
        <w:t xml:space="preserve">(3) Die Erlaubnis ist durch einen Führerschein nach Muster 4 der Anlage 8 nachzuweisen (Führerschein zur Fahrgastbeförderung). Er ist bei der Fahrgastbeförderung neben der nach einem ab dem 1. Januar 1999 aufgrund der Fahrerlaubnis-Verordnung in der jeweils geltenden Fassung zu verwendenden Muster ausgestellten EU- oder EWR-Fahrerlaubnis mitzuführen und zuständigen Personen auf Verlangen zur Prüfung auszuhändigen.</w:t>
      </w:r>
    </w:p>
    <w:p>
      <w:r>
        <w:t xml:space="preserve">(4) Die Fahrerlaubnis zur Fahrgastbeförderung ist zu erteilen, wenn der Bewerber</w:t>
      </w:r>
    </w:p>
    <w:p>
      <w:pPr>
        <w:ind w:left="420"/>
      </w:pPr>
      <w:r>
        <w:t xml:space="preserve">1. die nach § 6 für das Führen des Fahrzeugs erforderliche EU- oder EWR-Fahrerlaubnis besitzt,</w:t>
      </w:r>
    </w:p>
    <w:p>
      <w:pPr>
        <w:ind w:left="420"/>
      </w:pPr>
      <w:r>
        <w:t xml:space="preserve">2. das 21. Lebensjahr – bei Beschränkung der Fahrerlaubnis auf Krankenkraftwagen das 19. Lebensjahr – vollendet hat,</w:t>
      </w:r>
    </w:p>
    <w:p>
      <w:pPr>
        <w:ind w:left="420"/>
      </w:pPr>
      <w:r>
        <w:t xml:space="preserve">2a. durch Vorlage eines nach Maßgabe des § 30 Absatz 5 Satz 1 des Bundeszentralregistergesetzes ausgestellten Führungszeugnisses und durch eine auf Kosten des Antragstellers eingeholte aktuelle Auskunft aus dem Fahreignungsregister nachweist, dass er die Gewähr dafür bietet, dass er der besonderen Verantwortung bei der Beförderung von Fahrgästen gerecht wird,</w:t>
      </w:r>
    </w:p>
    <w:p>
      <w:pPr>
        <w:ind w:left="420"/>
      </w:pPr>
      <w:r>
        <w:t xml:space="preserve">3. seine geistige und körperliche Eignung gemäß § 11 Absatz 9 in Verbindung mit Anlage 5 nachweist,</w:t>
      </w:r>
    </w:p>
    <w:p>
      <w:pPr>
        <w:ind w:left="420"/>
      </w:pPr>
      <w:r>
        <w:t xml:space="preserve">4. nachweist, dass er die Anforderungen an das Sehvermögen gemäß § 12 Absatz 6 in Verbindung mit Anlage 6 Nummer 2 erfüllt,</w:t>
      </w:r>
    </w:p>
    <w:p>
      <w:pPr>
        <w:ind w:left="420"/>
      </w:pPr>
      <w:r>
        <w:t xml:space="preserve">5. nachweist, dass er eine EU- oder EWR-Fahrerlaubnis der Klasse B oder eine entsprechende Fahrerlaubnis aus einem in Anlage 11 aufgeführten Staat seit mindestens zwei Jahren – bei Beschränkung der Fahrerlaubnis auf Krankenkraftwagen seit mindestens einem Jahr – besitzt oder innerhalb der letzten fünf Jahre besessen hat,</w:t>
      </w:r>
    </w:p>
    <w:p>
      <w:pPr>
        <w:ind w:left="420"/>
      </w:pPr>
      <w:r>
        <w:t xml:space="preserve">6. – falls die Erlaubnis für Krankenkraftwagen gelten soll – einen Nachweis über die Teilnahme an einer Schulung in Erster Hilfe nach § 19 beibringt und</w:t>
      </w:r>
    </w:p>
    <w:p>
      <w:pPr>
        <w:ind w:left="420"/>
      </w:pPr>
      <w:r>
        <w:t xml:space="preserve">7. – falls die Erlaubnis für Taxen, Mietwagen und den gebündelten Bedarfsverkehr gelten soll – einen Nachweis der Fachkunde vorlegt. Der Nachweis kann durch eine Bescheinigung einer geeigneten Stelle geführt werden. Die geeignete Stelle wird durch die für das Personenbeförderungsgesetz zuständige oberste Landesbehörde oder die nach Landesrecht bestimmten Stellen bestimmt.</w:t>
      </w:r>
    </w:p>
    <w:p>
      <w:r>
        <w:t xml:space="preserve">(5) Die Fahrerlaubnis zur Fahrgastbeförderung wird für eine Dauer von nicht mehr als fünf Jahren erteilt. Sie wird auf Antrag des Inhabers jeweils bis zu fünf Jahren verlängert, wenn</w:t>
      </w:r>
    </w:p>
    <w:p>
      <w:pPr>
        <w:ind w:left="420"/>
      </w:pPr>
      <w:r>
        <w:t xml:space="preserve">1. er seine geistige und körperliche Eignung gemäß § 11 Absatz 9 in Verbindung mit Anlage 5 nachweist,</w:t>
      </w:r>
    </w:p>
    <w:p>
      <w:pPr>
        <w:ind w:left="420"/>
      </w:pPr>
      <w:r>
        <w:t xml:space="preserve">2. er nachweist, dass er die Anforderungen an das Sehvermögen gemäß § 12 Absatz 6 in Verbindung mit Anlage 6 Nummer 2 erfüllt und</w:t>
      </w:r>
    </w:p>
    <w:p>
      <w:pPr>
        <w:ind w:left="420"/>
      </w:pPr>
      <w:r>
        <w:t xml:space="preserve">3. er durch Vorlage der Unterlagen nach Absatz 4 Nummer 2a nachweist, dass er die Gewähr dafür bietet, dass er der besonderen Verantwortung bei der Beförderung von Fahrgästen gerecht wird.</w:t>
      </w:r>
    </w:p>
    <w:p>
      <w:r>
        <w:t xml:space="preserve">(6) Die §§ 21, 22 und 24 Absatz 1 Satz 1 und 2, Absatz 2 und 3 sind entsprechend anzuwenden. Die Verlängerung der Fahrerlaubnis zur Fahrgastbeförderung kann nur dann über die Vollendung des 60. Lebensjahres hinaus erfolgen, wenn der Antragsteller zusätzlich seine Eignung nach Maßgabe der Anlage 5 Nummer 2 und 3 nachweist.</w:t>
      </w:r>
    </w:p>
    <w:p>
      <w:r>
        <w:t xml:space="preserve">(7) Der Halter eines Fahrzeugs darf die Fahrgastbeförderung nicht anordnen oder zulassen, wenn der Führer des Fahrzeugs die erforderliche Erlaubnis zur Fahrgastbeförderung nicht besitzt oder die erforderliche Fachkunde nicht nachgewiesen hat.</w:t>
      </w:r>
    </w:p>
    <w:p>
      <w:r>
        <w:t xml:space="preserve">(8) Begründen Tatsachen Zweifel an der körperlichen und geistigen Eignung des Fahrerlaubnisinhabers oder an der Gewähr der besonderen Verantwortung bei der Beförderung von Fahrgästen des Inhabers einer Fahrerlaubnis zur Fahrgastbeförderung, finden die §§ 11 bis 14 entsprechende Anwendung. Auf Verlangen der Fahrerlaubnisbehörde hat der Inhaber der Erlaubnis seine Fachkunde erneut nachzuweisen, wenn Tatsachen Zweifel begründen, ob er diese Kenntnisse noch besitzt. Bestehen Bedenken an der Gewähr für die besondere Verantwortung bei der Beförderung von Fahrgästen, kann von der Fahrerlaubnisbehörde ein medizinisch-psychologisches Gutachten einer amtlich anerkannten Begutachtungsstelle für Fahreignung angeordnet werden.</w:t>
      </w:r>
    </w:p>
    <w:p>
      <w:r>
        <w:t xml:space="preserve">(9) Die Erlaubnis ist von der Fahrerlaubnisbehörde zu entziehen, wenn eine der aus Absatz 4 ersichtlichen Voraussetzungen fehlt. Die Erlaubnis erlischt mit der Entziehung sowie mit der Entziehung der in Absatz 4 Nummer 1 genannten Fahrerlaubnis. § 47 Absatz 1 ist entsprechend anzuwenden.</w:t>
      </w:r>
    </w:p>
    <w:p>
      <w:r>
        <w:rPr>
          <w:color w:val="555555"/>
          <w:sz w:val="17"/>
        </w:rPr>
        <w:t xml:space="preserve">Zitiervorschlag: § 48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