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43a FeV 2010 — Anforderungen an Qualitätssicherungssysteme für das Fahreignungsseminar</w:t>
      </w:r>
    </w:p>
    <w:p>
      <w:r>
        <w:rPr>
          <w:color w:val="555555"/>
          <w:sz w:val="18"/>
        </w:rPr>
        <w:t xml:space="preserve">Fahrerlaubnis-Verordnung</w:t>
      </w:r>
    </w:p>
    <w:p>
      <w:r>
        <w:rPr>
          <w:color w:val="555555"/>
          <w:sz w:val="18"/>
        </w:rPr>
        <w:t xml:space="preserve">Stand: 10.06.2019 (konsolidierte Textfassung, kein amtliches Inkrafttretensdatum)</w:t>
      </w:r>
    </w:p>
    <w:p>
      <w:r>
        <w:t xml:space="preserve">Macht die nach Landesrecht zuständige Behörde von der Möglichkeit der Qualitätssicherungssysteme nach § 4a Absatz 8 Satz 6 des Straßenverkehrsgesetzes oder § 51 Absatz 6 des Fahrlehrergesetzes Gebrauch, hat sie ein Qualitätssicherungssystem für die verkehrspsychologische Teilmaßnahme anzuerkennen oder ein Qualitätssicherungssystem für die verkehrspädagogische Teilmaßnahme zu genehmigen, wenn</w:t>
      </w:r>
    </w:p>
    <w:p>
      <w:pPr>
        <w:ind w:left="420"/>
      </w:pPr>
      <w:r>
        <w:t xml:space="preserve">1. der Antragsteller oder bei juristischen Personen die vertretungsberechtigten Personen über die für den Betrieb des Qualitätssicherungssystems erforderliche Zuverlässigkeit verfügen,</w:t>
      </w:r>
    </w:p>
    <w:p>
      <w:pPr>
        <w:ind w:left="420"/>
      </w:pPr>
      <w:r>
        <w:t xml:space="preserve">2. die finanzielle und organisatorische Leistungsfähigkeit des Trägers des Qualitätssicherungssystems gewährleistet ist,</w:t>
      </w:r>
    </w:p>
    <w:p>
      <w:pPr>
        <w:ind w:left="420"/>
      </w:pPr>
      <w:r>
        <w:t xml:space="preserve">3. Verfahren zur Qualitätssicherung vorgesehen und dokumentiert sind, die sicherstellen, dass</w:t>
      </w:r>
    </w:p>
    <w:p>
      <w:pPr>
        <w:ind w:left="780"/>
      </w:pPr>
      <w:r>
        <w:t xml:space="preserve">a) wenigstens alle zwei Jahre eine Prüfung der Erfüllung der Anforderungen nach Anlage 17 bei dem Anbieter von Fahreignungsseminaren oder von Einweisungslehrgängen vor Ort durchgeführt wird,</w:t>
      </w:r>
    </w:p>
    <w:p>
      <w:pPr>
        <w:ind w:left="780"/>
      </w:pPr>
      <w:r>
        <w:t xml:space="preserve">b) das zur Prüfung nach Buchstabe a eingesetzte Personal über die erforderliche Fachkunde, Unabhängigkeit und Zuverlässigkeit verfügt, um sachgerecht beurteilen zu können, ob die Anforderungen nach Anlage 17 erfüllt werden,</w:t>
      </w:r>
    </w:p>
    <w:p>
      <w:pPr>
        <w:ind w:left="780"/>
      </w:pPr>
      <w:r>
        <w:t xml:space="preserve">c) der Anbieter von Fahreignungsseminaren oder von Einweisungslehrgängen aus dem Qualitätssicherungssystem ausgeschlossen wird, wenn er die gesetzlichen Anforderungen für die Durchführung von Fahreignungsseminaren oder Einweisungslehrgängen nicht mehr erfüllt und der Mangel nicht unverzüglich beseitigt wird,</w:t>
      </w:r>
    </w:p>
    <w:p>
      <w:pPr>
        <w:ind w:left="780"/>
      </w:pPr>
      <w:r>
        <w:t xml:space="preserve">d) der Antragsteller der nach Landesrecht zuständigen Behörde die Aufnahme eines Anbieters von Fahreignungsseminaren oder von Einweisungslehrgängen in das Qualitätssicherungssystem und dessen Ausschluss oder Ausscheiden aus dem Qualitätssicherungssystem nebst der dafür wesentlichen Gründe unverzüglich mitteilt,</w:t>
      </w:r>
    </w:p>
    <w:p>
      <w:pPr>
        <w:ind w:left="780"/>
      </w:pPr>
      <w:r>
        <w:t xml:space="preserve">e) bei der Durchführung der Qualitätssicherung die geltenden Datenschutzbestimmungen nach den Landesdatenschutzgesetzen sowie landesrechtliche, bereichsspezifische Datenschutzvorschriften und, soweit der Datenschutz nicht durch Landesrecht geregelt ist, nach dem Bundesdatenschutzgesetz sowie bundesrechtliche, bereichsspezifische Datenschutzvorschriften eingehalten werden,</w:t>
      </w:r>
    </w:p>
    <w:p>
      <w:pPr>
        <w:ind w:left="780"/>
      </w:pPr>
      <w:r>
        <w:t xml:space="preserve">f) eine Dokumentation der Durchführung der Qualitätssicherung erfolgt und</w:t>
      </w:r>
    </w:p>
    <w:p>
      <w:pPr>
        <w:ind w:left="780"/>
      </w:pPr>
      <w:r>
        <w:t xml:space="preserve">g) die nach Landesrecht zuständige Behörde jederzeit Einsicht in die Dokumentation über die Durchführung der Qualitätssicherung nehmen kann,</w:t>
      </w:r>
    </w:p>
    <w:p>
      <w:pPr>
        <w:ind w:left="420"/>
      </w:pPr>
      <w:r>
        <w:t xml:space="preserve">und</w:t>
      </w:r>
    </w:p>
    <w:p>
      <w:pPr>
        <w:ind w:left="420"/>
      </w:pPr>
      <w:r>
        <w:t xml:space="preserve">4. mindestens eine der folgenden Maßnahmen vorgesehen und dokumentiert ist, die der Erhaltung des Qualitätsniveaus des Fahreignungsseminars dienen:</w:t>
      </w:r>
    </w:p>
    <w:p>
      <w:pPr>
        <w:ind w:left="780"/>
      </w:pPr>
      <w:r>
        <w:t xml:space="preserve">a) ergänzende Fortbildungen,</w:t>
      </w:r>
    </w:p>
    <w:p>
      <w:pPr>
        <w:ind w:left="780"/>
      </w:pPr>
      <w:r>
        <w:t xml:space="preserve">b) Auswertungen der Seminardurchführungen,</w:t>
      </w:r>
    </w:p>
    <w:p>
      <w:pPr>
        <w:ind w:left="780"/>
      </w:pPr>
      <w:r>
        <w:t xml:space="preserve">c) institutionalisierter fachlicher Austausch oder</w:t>
      </w:r>
    </w:p>
    <w:p>
      <w:pPr>
        <w:ind w:left="780"/>
      </w:pPr>
      <w:r>
        <w:t xml:space="preserve">d) eine der den vorgenannten Maßnahmen gleichwertige Maßnahme.</w:t>
      </w:r>
    </w:p>
    <w:p>
      <w:r>
        <w:rPr>
          <w:color w:val="555555"/>
          <w:sz w:val="17"/>
        </w:rPr>
        <w:t xml:space="preserve">Zitiervorschlag: § 43a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