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FeV 2010 — Maßnahmen der nach Landesrecht zuständigen Behörde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Ermahnung des Inhabers einer Fahrerlaubnis nach § 4 Absatz 5 Satz 1 Nummer 1 des Straßenverkehrsgesetzes, seine Verwarnung nach § 4 Absatz 5 Satz 1 Nummer 2 des Straßenverkehrsgesetzes und der jeweils gleichzeitige Hinweis auf die freiwillige Teilnahme an einem Fahreignungsseminar erfolgen schriftlich unter Angabe der begangenen Verkehrszuwiderhandlungen.</w:t>
      </w:r>
    </w:p>
    <w:p>
      <w:r>
        <w:t xml:space="preserve">(2) Die Anordnung eines Verkehrsunterrichts nach § 48 der Straßenverkehrs-Ordnung bleibt unberührt.</w:t>
      </w:r>
    </w:p>
    <w:p>
      <w:r>
        <w:rPr>
          <w:color w:val="555555"/>
          <w:sz w:val="17"/>
        </w:rPr>
        <w:t xml:space="preserve">Zitiervorschlag: § 41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