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FeV 2010 — Erlaubnispflicht und Ausweispflicht für das Führen von Kraftfahrzeugen</w:t>
      </w:r>
    </w:p>
    <w:p>
      <w:r>
        <w:rPr>
          <w:color w:val="555555"/>
          <w:sz w:val="18"/>
        </w:rPr>
        <w:t xml:space="preserve">Fahrerlaubnis-Verordnung</w:t>
      </w:r>
    </w:p>
    <w:p>
      <w:r>
        <w:rPr>
          <w:color w:val="555555"/>
          <w:sz w:val="18"/>
        </w:rPr>
        <w:t xml:space="preserve">Stand: 15.06.2019 (konsolidierte Textfassung, kein amtliches Inkrafttretensdatum)</w:t>
      </w:r>
    </w:p>
    <w:p>
      <w:r>
        <w:t xml:space="preserve">(1) Wer auf öffentlichen Straßen ein Kraftfahrzeug führt, bedarf der Fahrerlaubnis. Ausgenommen sind</w:t>
      </w:r>
    </w:p>
    <w:p>
      <w:pPr>
        <w:ind w:left="420"/>
      </w:pPr>
      <w:r>
        <w:t xml:space="preserve">1. einspurige Fahrräder mit Hilfsmotor – auch ohne Tretkurbeln –, wenn ihre Bauart Gewähr dafür bietet, dass die Höchstgeschwindigkeit auf ebener Bahn nicht mehr als 25 km/h beträgt (Mofas); besondere Sitze für die Mitnahme von Kindern unter sieben Jahren dürfen jedoch angebracht sein,</w:t>
      </w:r>
    </w:p>
    <w:p>
      <w:pPr>
        <w:ind w:left="420"/>
      </w:pPr>
      <w:r>
        <w:t xml:space="preserve">1a. Elektrokleinstfahrzeuge nach § 1 Absatz 1 der Elektrokleinstfahrzeuge-Verordnung,</w:t>
      </w:r>
    </w:p>
    <w:p>
      <w:pPr>
        <w:ind w:left="420"/>
      </w:pPr>
      <w:r>
        <w:t xml:space="preserve">1b. zweirädrige Kraftfahrzeuge der Klasse L1e-B und dreirädrige Kraftfahrzeuge der Klassen L2e-P und L2e-U nach Artikel 4 Absatz 2 Buchstabe a und b der Verordnung (EU) Nr. 168/2013 des Europäischen Parlaments und des Rates vom 15. Januar 2013 über die Genehmigung und Marktüberwachung von zwei- oder dreirädrigen und vierrädrigen Fahrzeugen (ABl. L 60 vom 2.3.2013, S. 52) oder nicht EU-typgenehmigte Fahrzeuge mit den jeweils gleichen technischen Eigenschaften, wenn ihre Bauart Gewähr dafür bietet, dass die Höchstgeschwindigkeit auf ebener Bahn auf höchstens 25 km/h beschränkt ist,</w:t>
      </w:r>
    </w:p>
    <w:p>
      <w:pPr>
        <w:ind w:left="420"/>
      </w:pPr>
      <w:r>
        <w:t xml:space="preserve">2. motorisierte Krankenfahrstühle (einsitzige, nach der Bauart zum Gebrauch durch körperlich behinderte Personen bestimmte Kraftfahrzeuge mit Elektroantrieb, einer Leermasse von nicht mehr als 300 kg einschließlich Batterien jedoch ohne Fahrer, einer zulässigen Gesamtmasse von nicht mehr als 500 kg, einer bauartbedingten Höchstgeschwindigkeit von nicht mehr als 15 km/h und einer Breite über alles von maximal 110 cm),</w:t>
      </w:r>
    </w:p>
    <w:p>
      <w:pPr>
        <w:ind w:left="420"/>
      </w:pPr>
      <w:r>
        <w:t xml:space="preserve">3. Zugmaschinen, die nach ihrer Bauart für die Verwendung land- oder forstwirtschaftlicher Zwecke bestimmt sind, selbstfahrende Arbeitsmaschinen, Stapler und andere Flurförderzeuge jeweils mit einer durch die Bauart bestimmten Höchstgeschwindigkeit von nicht mehr als 6 km/h sowie einachsige Zug- und Arbeitsmaschinen, die von Fußgängern an Holmen geführt werden.</w:t>
      </w:r>
    </w:p>
    <w:p>
      <w:r>
        <w:t xml:space="preserve">(2) Die Fahrerlaubnis ist durch eine gültige amtliche Bescheinigung (Führerschein) nachzuweisen. Beim Führen eines Kraftfahrzeuges ist ein dafür gültiger Führerschein mitzuführen und zuständigen Personen auf Verlangen zur Prüfung auszuhändigen. Der Internationale Führerschein oder der nationale ausländische Führerschein und eine mit diesem nach § 29 Absatz 2 Satz 2 verbundene Übersetzung ist mitzuführen und zuständigen Personen auf Verlangen zur Prüfung auszuhändigen.</w:t>
      </w:r>
    </w:p>
    <w:p>
      <w:r>
        <w:t xml:space="preserve">(3) Abweichend von Absatz 2 Satz 1 kann die Fahrerlaubnis auch durch eine andere Bescheinigung als den Führerschein nachgewiesen werden, soweit dies ausdrücklich bestimmt oder zugelassen ist. Absatz 2 Satz 2 gilt für eine Bescheinigung im Sinne des Satzes 1 entsprechend.</w:t>
      </w:r>
    </w:p>
    <w:p>
      <w:r>
        <w:rPr>
          <w:color w:val="555555"/>
          <w:sz w:val="17"/>
        </w:rPr>
        <w:t xml:space="preserve">Zitiervorschlag: § 4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