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FeV 2010 — Bewertung der Straftaten und Ordnungswidrigkeiten im Rahmen der Fahrerlaubnis auf Probe und Anordnung des Aufbauseminars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 der Straftaten und Ordnungswidrigkeiten im Rahmen der Fahrerlaubnis auf Probe erfolgt nach Anlage 12.</w:t>
      </w:r>
    </w:p>
    <w:p>
      <w:r>
        <w:t xml:space="preserve">(2) Die Anordnung der Teilnahme an einem Aufbauseminar nach § 2a Absatz 2 des Straßenverkehrsgesetzes erfolgt schriftlich unter Angabe der Verkehrszuwiderhandlungen, die zu der Anordnung geführt haben; dabei ist eine angemessene Frist zu setzen. Die schriftliche Anordnung ist bei der Anmeldung zu einem Aufbauseminar dem Kursleiter vorzulegen.</w:t>
      </w:r>
    </w:p>
    <w:p>
      <w:r>
        <w:rPr>
          <w:color w:val="555555"/>
          <w:sz w:val="17"/>
        </w:rPr>
        <w:t xml:space="preserve">Zitiervorschlag: § 34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