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FeV 2010 — Berechnung der Probezeit bei Inhabern von Dienstfahrerlaubnissen und Fahrerlaubnissen aus Staaten außerhalb des Abkommens über den Europäischen Wirtschaftsraum</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Bei erstmaliger Erteilung einer allgemeinen Fahrerlaubnis an den Inhaber einer Dienstfahrerlaubnis ist die Zeit seit deren Erwerb auf die Probezeit anzurechnen. Hatte die Dienststelle vor Ablauf der Probezeit den Dienstführerschein nach § 26 Absatz 2 eingezogen, beginnt mit der Erteilung einer allgemeinen Fahrerlaubnis eine neue Probezeit, jedoch nur im Umfang der Restdauer der vorherigen Probezeit.</w:t>
      </w:r>
    </w:p>
    <w:p>
      <w:r>
        <w:t xml:space="preserve">(2) Begründet der Inhaber einer Fahrerlaubnis aus einem Staat außerhalb des Europäischen Wirtschaftsraums seinen ordentlichen Wohnsitz im Inland und wird ihm die deutsche Fahrerlaubnis nach § 31 erteilt, wird bei der Berechnung der Probezeit der Zeitraum nicht berücksichtigt, in welchem er im Inland zum Führen von Kraftfahrzeugen nicht berechtigt war.</w:t>
      </w:r>
    </w:p>
    <w:p>
      <w:r>
        <w:rPr>
          <w:color w:val="555555"/>
          <w:sz w:val="17"/>
        </w:rPr>
        <w:t xml:space="preserve">Zitiervorschlag: § 33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