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FeV 2010 — Einschränkung und Entziehung der Zulassung</w:t>
      </w:r>
    </w:p>
    <w:p>
      <w:r>
        <w:rPr>
          <w:color w:val="555555"/>
          <w:sz w:val="18"/>
        </w:rPr>
        <w:t xml:space="preserve">Fahrerlaubnis-Verordnung</w:t>
      </w:r>
    </w:p>
    <w:p>
      <w:r>
        <w:rPr>
          <w:color w:val="555555"/>
          <w:sz w:val="18"/>
        </w:rPr>
        <w:t xml:space="preserve">Stand: 19.08.2026 (konsolidierte Textfassung, kein amtliches Inkrafttretensdatum)</w:t>
      </w:r>
    </w:p>
    <w:p>
      <w:r>
        <w:t xml:space="preserve">(1) Erweist sich jemand als ungeeignet oder nur noch bedingt geeignet zum Führen eines fahrerlaubnisfreien Fahrzeugs oder eines Tieres, hat die Fahrerlaubnisbehörde ihm das Führen zu untersagen, zu beschränken oder die erforderlichen Auflagen anzuordnen. Nach der Untersagung, auf öffentlichen Straßen ein Mofa nach § 4 Absatz 1 Satz 2 Nummer 1 oder ein Kraftfahrzeug nach § 4 Absatz 1 Satz 2 Nummer 1b zu führen, ist die Prüfbescheinigung nach § 5 Absatz 4 Satz 1 unverzüglich der entscheidenden Behörde abzuliefern oder bei Beschränkungen oder Auflagen zur Eintragung vorzulegen. Die Verpflichtung zur Ablieferung oder Vorlage der Prüfbescheinigung besteht auch, wenn die Entscheidung angefochten worden ist, die zuständige Behörde jedoch die sofortige Vollziehung ihrer Verfügung angeordnet hat.</w:t>
      </w:r>
    </w:p>
    <w:p>
      <w:r>
        <w:t xml:space="preserve">(2) Ungeeignet oder nur noch bedingt geeignet zum Führen eines fahrerlaubnisfreien Fahrzeugs oder eines Tieres ist, wer</w:t>
      </w:r>
    </w:p>
    <w:p>
      <w:pPr>
        <w:ind w:left="420"/>
      </w:pPr>
      <w:r>
        <w:t xml:space="preserve">1. die körperlichen und geistigen Anforderungen, die für das sichere Führen des jeweiligen fahrerlaubnisfreien Fahrzeugs oder eines Tieres im Straßenverkehr notwendig sind, nicht oder nur noch bedingt erfüllt oder</w:t>
      </w:r>
    </w:p>
    <w:p>
      <w:pPr>
        <w:ind w:left="420"/>
      </w:pPr>
      <w:r>
        <w:t xml:space="preserve">2. erheblich gegen verkehrsrechtliche Vorschriften oder Strafgesetze beim Führen fahrerlaubnisfreier Fahrzeuge oder Tiere verstoßen hat.</w:t>
      </w:r>
    </w:p>
    <w:p>
      <w:r>
        <w:t xml:space="preserve">(3) Werden Tatsachen bekannt, die Bedenken gegen die Eignung eines Führers eines fahrerlaubnisfreien Fahrzeugs oder eines Tieres zum Führen dieses fahrerlaubnisfreien Fahrzeugs oder dieses Tieres begründen, so kann die Fahrerlaubnisbehörde zur Vorbereitung einer Entscheidung nach Absatz 1 je nach den Umständen des Einzelfalls in entsprechender Anwendung der §§ 11 bis 14 anordnen, dass Folgendes beizubringen ist:</w:t>
      </w:r>
    </w:p>
    <w:p>
      <w:pPr>
        <w:ind w:left="420"/>
      </w:pPr>
      <w:r>
        <w:t xml:space="preserve">1. ein ärztliches Gutachten (§ 11 Absatz 2 Satz 3),</w:t>
      </w:r>
    </w:p>
    <w:p>
      <w:pPr>
        <w:ind w:left="420"/>
      </w:pPr>
      <w:r>
        <w:t xml:space="preserve">2. ein Gutachten einer amtlich anerkannten Begutachtungsstelle für Fahreignung (§ 11 Absatz 3) oder</w:t>
      </w:r>
    </w:p>
    <w:p>
      <w:pPr>
        <w:ind w:left="420"/>
      </w:pPr>
      <w:r>
        <w:t xml:space="preserve">3. ein Gutachten eines amtlich anerkannten Sachverständigen oder Prüfers für den Kraftfahrzeugverkehr (§ 11 Absatz 4).</w:t>
      </w:r>
    </w:p>
    <w:p>
      <w:r>
        <w:t xml:space="preserve">Satz 1 gilt entsprechend, wenn zu klären ist, ob ein Eignungsmangel zum Führen eines fahrerlaubnisfreien Fahrzeugs oder eines Tieres nicht mehr besteht.</w:t>
      </w:r>
    </w:p>
    <w:p>
      <w:r>
        <w:t xml:space="preserve">(4) Bei der Entscheidung über die Anordnung nach Absatz 3 Satz 1 oder 2 ein Gutachten beizubringen, sowie bei der Entscheidung, Maßnahmen nach Absatz 1, einschließlich ihrer Art und ihres Umfangs, zu treffen und bei der dabei zu klärenden Frage der Eignung beziehungsweise des Vorliegens von Eignungszweifeln ist auch zu berücksichtigen, dass fahrerlaubnisfreie Fahrzeuge im Vergleich zu fahrerlaubnispflichtigen Fahrzeugen regelmäßig geringere Gefährlichkeit aufweisen. Kriterien für die Entscheidung, ob die Anordnung der Beibringung eines Gutachtens nach Absatz 3 Satz 1 oder Satz 2 im konkreten Einzelfall verhältnismäßig ist, können insbesondere sein:</w:t>
      </w:r>
    </w:p>
    <w:p>
      <w:pPr>
        <w:ind w:left="420"/>
      </w:pPr>
      <w:r>
        <w:t xml:space="preserve">1. die Größe und das Gewicht des Fahrzeugs,</w:t>
      </w:r>
    </w:p>
    <w:p>
      <w:pPr>
        <w:ind w:left="420"/>
      </w:pPr>
      <w:r>
        <w:t xml:space="preserve">2. die Fahreigenschaften,</w:t>
      </w:r>
    </w:p>
    <w:p>
      <w:pPr>
        <w:ind w:left="420"/>
      </w:pPr>
      <w:r>
        <w:t xml:space="preserve">3. die erreichbare Höchstfahrgeschwindigkeit des Fahrzeugs auf ebener Bahn sowie</w:t>
      </w:r>
    </w:p>
    <w:p>
      <w:pPr>
        <w:ind w:left="420"/>
      </w:pPr>
      <w:r>
        <w:t xml:space="preserve">4. die Art der Bedienung und Benutzung des Fahrzeugs.</w:t>
      </w:r>
    </w:p>
    <w:p>
      <w:r>
        <w:rPr>
          <w:color w:val="555555"/>
          <w:sz w:val="17"/>
        </w:rPr>
        <w:t xml:space="preserve">Zitiervorschlag: § 3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