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FeV 2010 — Verhältnis von allgemeiner Fahrerlaubnis und Dienstfahrerlaubnis</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Beantragt der Inhaber einer Dienstfahrerlaubnis während der Dauer des Dienstverhältnisses die Erteilung einer allgemeinen Fahrerlaubnis, sind folgende Vorschriften nicht anzuwenden:</w:t>
      </w:r>
    </w:p>
    <w:p>
      <w:pPr>
        <w:ind w:left="420"/>
      </w:pPr>
      <w:r>
        <w:t xml:space="preserve">1. § 11 Absatz 9 über die ärztliche Untersuchung und § 12 Absatz 6 über die Untersuchung des Sehvermögens, es sei denn, dass in entsprechender Anwendung der Regelungen in den §§ 23 und 24 eine Untersuchung erforderlich ist,</w:t>
      </w:r>
    </w:p>
    <w:p>
      <w:pPr>
        <w:ind w:left="420"/>
      </w:pPr>
      <w:r>
        <w:t xml:space="preserve">2. § 12 Absatz 2 über den Sehtest,</w:t>
      </w:r>
    </w:p>
    <w:p>
      <w:pPr>
        <w:ind w:left="420"/>
      </w:pPr>
      <w:r>
        <w:t xml:space="preserve">3. § 15 über die Befähigungsprüfung,</w:t>
      </w:r>
    </w:p>
    <w:p>
      <w:pPr>
        <w:ind w:left="420"/>
      </w:pPr>
      <w:r>
        <w:t xml:space="preserve">4. § 19 über die Schulung in Erster Hilfe,</w:t>
      </w:r>
    </w:p>
    <w:p>
      <w:pPr>
        <w:ind w:left="420"/>
      </w:pPr>
      <w:r>
        <w:t xml:space="preserve">5. die Vorschriften über die Ausbildung.</w:t>
      </w:r>
    </w:p>
    <w:p>
      <w:r>
        <w:t xml:space="preserve">Dasselbe gilt bei Vorlage einer Bescheinigung nach § 26 Absatz 3. Die Klasse der auf Grund einer bis zum Ablauf des 18. Januar 2013 erteilten Dienstfahrerlaubnis der Bundeswehr zu erteilenden allgemeinen Fahrerlaubnis ergibt sich aus Anlage 10. Die Klasse der aufgrund einer ab dem 19. Januar 2013 erteilten Dienstfahrerlaubnis der Bundeswehr zu erteilenden allgemeinen Fahrerlaubnis ergibt sich aus § 6. Auf dem Führerschein ist in Feld 10 der Tag zu vermerken, an dem die Dienstfahrerlaubnis für die betreffende Klasse erteilt worden ist. Wenn die Geltungsdauer der betreffenden Klasse der Dienstfahrerlaubnis befristet ist, wird die im Dienstführerschein vermerkte Geltungsdauer in Feld 11 der betreffenden Klassen eingetragen.</w:t>
      </w:r>
    </w:p>
    <w:p>
      <w:r>
        <w:t xml:space="preserve">(1a) Abweichend von Absatz 1 Satz 1 Nummer 3 ordnet die Fahrerlaubnisbehörde in dem Fall des § 26 Absatz 3 eine Fahrerlaubnisprüfung an, wenn Tatsachen vorliegen, die die Annahme rechtfertigen, dass der Bewerber die nach § 16 Absatz 1 und § 17 Absatz 1 erforderlichen Kenntnisse und Fähigkeiten nicht mehr besitzt.</w:t>
      </w:r>
    </w:p>
    <w:p>
      <w:r>
        <w:t xml:space="preserve">(2) Wird dem Inhaber einer allgemeinen Fahrerlaubnis eine Dienstfahrerlaubnis derselben oder einer entsprechenden Klasse erteilt, kann die Dienstfahrerlaubnisbehörde Absatz 1 Satz 1 entsprechend anwenden. Dies gilt auch bei der Erteilung einer Dienstfahrerlaubnis der Bundeswehr in einer von § 6 Absatz 1 abweichenden Klasse, soweit die in Absatz 1 Satz 1 genannten Voraussetzungen auch Voraussetzungen für die Erteilung der Dienstfahrerlaubnis sind.</w:t>
      </w:r>
    </w:p>
    <w:p>
      <w:r>
        <w:t xml:space="preserve">(3) Die Fahrerlaubnisbehörde teilt der Dienststelle, die die Dienstfahrerlaubnis erteilt hat, die unanfechtbare Versagung der allgemeinen Fahrerlaubnis sowie deren unanfechtbare oder vorläufig wirksame Entziehung einschließlich der Gründe der Entscheidung unverzüglich mit. Die Dienststelle teilt der zuständigen Fahrerlaubnisbehörde die unanfechtbare Versagung der Dienstfahrerlaubnis sowie deren unanfechtbare oder vorläufig wirksame Entziehung einschließlich der Gründe der Entscheidung unverzüglich mit, sofern die Versagung oder die Entziehung auf den Vorschriften des Straßenverkehrsgesetzes beruhen. Für die Wahrnehmung der Aufgaben nach diesem Absatz können an Stelle der genannten Dienststellen auch andere Stellen bestimmt werden. Für den Bereich der Bundeswehr nimmt die Zentrale Militärkraftfahrtstelle die Aufgaben wahr.</w:t>
      </w:r>
    </w:p>
    <w:p>
      <w:r>
        <w:t xml:space="preserve">(4) Die Dienstfahrerlaubnis erlischt mit der Entziehung der allgemeinen Fahrerlaubnis.</w:t>
      </w:r>
    </w:p>
    <w:p>
      <w:r>
        <w:rPr>
          <w:color w:val="555555"/>
          <w:sz w:val="17"/>
        </w:rPr>
        <w:t xml:space="preserve">Zitiervorschlag: § 27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