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25b FeV 2010 — Ausstellung des Internationalen Führerscheins</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Internationale Führerscheine müssen nach den Anlagen 8c und 8d in deutscher Sprache mit lateinischen Druck- oder Schriftzeichen ausgestellt werden.</w:t>
      </w:r>
    </w:p>
    <w:p>
      <w:r>
        <w:t xml:space="preserve">(2) Beim Internationalen Führerschein nach Artikel 7 und Anlage E des Internationalen Abkommens über Kraftfahrzeugverkehr vom 24. April 1926 (RGBl. 1930 II S. 1233) ergeben sich die entsprechenden Fahrerlaubnisklassen und deren Beschränkungen aus Nummer 5 der Vorbemerkungen zu Anlage 8c.</w:t>
      </w:r>
    </w:p>
    <w:p>
      <w:r>
        <w:t xml:space="preserve">(2a) Erfolgt die Ausstellung des Internationalen Führerscheins nach Anlage 8c auf Grund eines Führerscheins, der zwischen dem 1. Januar 1999 und dem 18. Januar 2013 ausgefertigt wurde, ergeben sich die entsprechenden Fahrerlaubnisklassen und deren Beschränkungen aus Nummer 6 der Vorbemerkungen zu Anlage 8c. Weitere Beschränkungen der Fahrerlaubnis sind zu übernehmen.</w:t>
      </w:r>
    </w:p>
    <w:p>
      <w:r>
        <w:t xml:space="preserve">(3) Beim Internationalen Führerschein nach Artikel 41 und Anhang 7 des Übereinkommens über den Straßenverkehr vom 8. November 1968 (BGBl. 1977 II S. 809) ergeben sich die entsprechenden Fahrerlaubnisklassen und deren Beschränkungen aus Nummer 5 der Vorbemerkungen zu Anlage 8d. Weitere Beschränkungen der Fahrerlaubnis sind zu übernehmen.</w:t>
      </w:r>
    </w:p>
    <w:p>
      <w:r>
        <w:t xml:space="preserve">(3a) Erfolgt die Ausstellung des Internationalen Führerscheins nach Anlage 8d auf Grund eines Führerscheins, der zwischen dem 1. Januar 1999 und dem 18. Januar 2013 ausgefertigt wurde, ergeben sich die entsprechenden Fahrerlaubnisklassen und deren Beschränkungen aus Nummer 6 der Vorbemerkungen zu Anlage 8d. Weitere Beschränkungen der Fahrerlaubnis sind zu übernehmen.</w:t>
      </w:r>
    </w:p>
    <w:p>
      <w:r>
        <w:t xml:space="preserve">(4) Die Gültigkeitsdauer Internationaler Führerscheine nach Anlage 8c beträgt ein Jahr, solcher nach Anlage 8d drei Jahre, jeweils vom Zeitpunkt ihrer Ausstellung. Die Gültigkeitsdauer darf nicht über die Gültigkeitsdauer des nationalen Führerscheins hinausgehen; dessen Nummer muss auf dem Internationalen Führerschein vermerkt sein.</w:t>
      </w:r>
    </w:p>
    <w:p>
      <w:r>
        <w:rPr>
          <w:color w:val="555555"/>
          <w:sz w:val="17"/>
        </w:rPr>
        <w:t xml:space="preserve">Zitiervorschlag: § 25b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