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FeV 2010 — Neuerteilung einer Fahrerlaubnis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Neuerteilung einer Fahrerlaubnis nach vorangegangener Entziehung oder nach vorangegangenem Verzicht gelten die Vorschriften für die Ersterteilung. § 15 findet vorbehaltlich des Absatzes 2 keine Anwendung.</w:t>
      </w:r>
    </w:p>
    <w:p>
      <w:r>
        <w:t xml:space="preserve">(2) Die Fahrerlaubnisbehörde ordnet eine Fahrerlaubnisprüfung an, wenn Tatsachen vorliegen, die die Annahme rechtfertigen, dass der Bewerber die nach § 16 Absatz 1 und § 17 Absatz 1 erforderlichen Kenntnisse und Fähigkeiten nicht mehr besitzt.</w:t>
      </w:r>
    </w:p>
    <w:p>
      <w:r>
        <w:t xml:space="preserve">(3) Unberührt bleibt die Anordnung einer medizinisch-psychologischen Untersuchung nach § 11 Absatz 3 Satz 1 Nummer 9.</w:t>
      </w:r>
    </w:p>
    <w:p>
      <w:r>
        <w:t xml:space="preserve">(4) Die Neuerteilung einer Fahrerlaubnis nach vorangegangener Entziehung kann frühestens sechs Monate vor Ablauf einer Sperre</w:t>
      </w:r>
    </w:p>
    <w:p>
      <w:pPr>
        <w:ind w:left="420"/>
      </w:pPr>
      <w:r>
        <w:t xml:space="preserve">1. nach § 2a Absatz 5 Satz 3 oder § 4 Absatz 10 Satz 1 des Straßenverkehrsgesetzes oder</w:t>
      </w:r>
    </w:p>
    <w:p>
      <w:pPr>
        <w:ind w:left="420"/>
      </w:pPr>
      <w:r>
        <w:t xml:space="preserve">2. nach § 69 Absatz 1 Satz 1 in Verbindung mit § 69a Absatz 1 Satz 1 oder § 69a Absatz 1 Satz 3 in Verbindung mit Satz 1 des Strafgesetzbuches</w:t>
      </w:r>
    </w:p>
    <w:p>
      <w:r>
        <w:t xml:space="preserve">bei der nach Landesrecht zuständigen Behörde beantragt werden.</w:t>
      </w:r>
    </w:p>
    <w:p>
      <w:r>
        <w:rPr>
          <w:color w:val="555555"/>
          <w:sz w:val="17"/>
        </w:rPr>
        <w:t xml:space="preserve">Zitiervorschlag: § 20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