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FeV 2010 — Gemeinsame Vorschriften für die theoretische und die praktische Prüfung</w:t>
      </w:r>
    </w:p>
    <w:p>
      <w:r>
        <w:rPr>
          <w:color w:val="555555"/>
          <w:sz w:val="18"/>
        </w:rPr>
        <w:t xml:space="preserve">Fahrerlaubnis-Verordnung</w:t>
      </w:r>
    </w:p>
    <w:p>
      <w:r>
        <w:rPr>
          <w:color w:val="555555"/>
          <w:sz w:val="18"/>
        </w:rPr>
        <w:t xml:space="preserve">Stand: 01.06.2022 (konsolidierte Textfassung, kein amtliches Inkrafttretensdatum)</w:t>
      </w:r>
    </w:p>
    <w:p>
      <w:r>
        <w:t xml:space="preserve">(1) Bei Täuschungshandlungen gilt die Prüfung als nicht bestanden. Eine nicht bestandene Prüfung darf nicht vor Ablauf eines angemessenen Zeitraums, in der Regel mindestens zwei Wochen, wiederholt werden. In den Fällen des Satzes 1 kann die Frist für die Wiederholung der Prüfung auf bis zu neun Monate festgelegt werden.</w:t>
      </w:r>
    </w:p>
    <w:p>
      <w:r>
        <w:t xml:space="preserve">(2) Die praktische Prüfung muss innerhalb von zwölf Monaten nach Bestehen der theoretischen Prüfung abgelegt werden. Andernfalls verliert die theoretische Prüfung ihre Gültigkeit. Der Zeitraum zwischen Abschluss der praktischen Prüfung oder – wenn keine praktische Prüfung erforderlich ist – zwischen Abschluss der theoretischen Prüfung und der Aushändigung des Führerscheins darf zwei Jahre nicht überschreiten. Andernfalls verliert die gesamte Prüfung ihre Gültigkeit.</w:t>
      </w:r>
    </w:p>
    <w:p>
      <w:r>
        <w:t xml:space="preserve">(3) Stellt der Sachverständige oder Prüfer Tatsachen fest, die bei ihm Zweifel über die körperliche oder geistige Eignung des Bewerbers begründen, hat er der Fahrerlaubnisbehörde Mitteilung zu machen und den Bewerber hierüber zu unterrichten.</w:t>
      </w:r>
    </w:p>
    <w:p>
      <w:r>
        <w:rPr>
          <w:color w:val="555555"/>
          <w:sz w:val="17"/>
        </w:rPr>
        <w:t xml:space="preserve">Zitiervorschlag: § 18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