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FeV 2010 — Klärung von Eignungszweifeln im Hinblick auf Betäubungsmittel und Arzneimittel</w:t>
      </w:r>
    </w:p>
    <w:p>
      <w:r>
        <w:rPr>
          <w:color w:val="555555"/>
          <w:sz w:val="18"/>
        </w:rPr>
        <w:t xml:space="preserve">Fahrerlaubnis-Verordnung</w:t>
      </w:r>
    </w:p>
    <w:p>
      <w:r>
        <w:rPr>
          <w:color w:val="555555"/>
          <w:sz w:val="18"/>
        </w:rPr>
        <w:t xml:space="preserve">Stand: 22.08.2024 (konsolidierte Textfassung, kein amtliches Inkrafttretensdatum)</w:t>
      </w:r>
    </w:p>
    <w:p>
      <w:r>
        <w:t xml:space="preserve">(1) Zur Vorbereitung von Entscheidungen über die Erteilung oder die Verlängerung der Fahrerlaubnis oder über die Anordnung von Beschränkungen oder Auflagen ordnet die Fahrerlaubnisbehörde an, dass ein ärztliches Gutachten (§ 11 Absatz 2 Satz 3) beizubringen ist, wenn Tatsachen die Annahme begründen, dass</w:t>
      </w:r>
    </w:p>
    <w:p>
      <w:pPr>
        <w:ind w:left="420"/>
      </w:pPr>
      <w:r>
        <w:t xml:space="preserve">1. Abhängigkeit von Betäubungsmitteln im Sinne des Betäubungsmittelgesetzes in der Fassung der Bekanntmachung vom 1. März 1994 (BGBl. I S. 358), das zuletzt durch Artikel 1 der Verordnung vom 11. Mai 2011 (BGBl. I S. 821) geändert worden ist, in der jeweils geltenden Fassung oder von anderen psychoaktiv wirkenden Stoffen,</w:t>
      </w:r>
    </w:p>
    <w:p>
      <w:pPr>
        <w:ind w:left="420"/>
      </w:pPr>
      <w:r>
        <w:t xml:space="preserve">2. Einnahme von Betäubungsmitteln im Sinne des Betäubungsmittelgesetzes oder</w:t>
      </w:r>
    </w:p>
    <w:p>
      <w:pPr>
        <w:ind w:left="420"/>
      </w:pPr>
      <w:r>
        <w:t xml:space="preserve">3. missbräuchliche Einnahme von psychoaktiv wirkenden Arzneimitteln oder anderen psychoaktiv wirkenden Stoffen</w:t>
      </w:r>
    </w:p>
    <w:p>
      <w:r>
        <w:t xml:space="preserve">vorliegt. Die Beibringung eines ärztlichen Gutachtens kann angeordnet werden, wenn der Betroffene Betäubungsmittel im Sinne des Betäubungsmittelgesetzes widerrechtlich besitzt oder besessen hat.</w:t>
      </w:r>
    </w:p>
    <w:p>
      <w:r>
        <w:t xml:space="preserve">(2) Die Beibringung eines medizinisch-psychologischen Gutachtens ist für die Zwecke nach Absatz 1 anzuordnen, wenn</w:t>
      </w:r>
    </w:p>
    <w:p>
      <w:pPr>
        <w:ind w:left="420"/>
      </w:pPr>
      <w:r>
        <w:t xml:space="preserve">1. die Fahrerlaubnis aus einem der in Absatz 1 genannten Gründe durch die Fahrerlaubnisbehörde oder ein Gericht entzogen war,</w:t>
      </w:r>
    </w:p>
    <w:p>
      <w:pPr>
        <w:ind w:left="420"/>
      </w:pPr>
      <w:r>
        <w:t xml:space="preserve">2. zu klären ist, ob der Betroffene noch abhängig ist oder – ohne abhängig zu sein – weiterhin die in Absatz 1 genannten Mittel oder Stoffe einnimmt, oder</w:t>
      </w:r>
    </w:p>
    <w:p>
      <w:pPr>
        <w:ind w:left="420"/>
      </w:pPr>
      <w:r>
        <w:t xml:space="preserve">3. wiederholt Zuwiderhandlungen im Straßenverkehr nach § 24a des Straßenverkehrsgesetzes begangen wurden.</w:t>
      </w:r>
    </w:p>
    <w:p>
      <w:r>
        <w:t xml:space="preserve">Im Falle des Satzes 1 Nummer 3 bleiben § 13 Satz 1 Nummer 2 Buchstabe b und § 13a Satz 1 Nummer 2 Buchstabe b unberührt.</w:t>
      </w:r>
    </w:p>
    <w:p>
      <w:r>
        <w:rPr>
          <w:color w:val="555555"/>
          <w:sz w:val="17"/>
        </w:rPr>
        <w:t xml:space="preserve">Zitiervorschlag: § 14 FeV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https://recht.nulegal.eu/gesetze/FeV%202010/14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