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FamkaKiGAbrV — Abrufberechtigung</w:t>
      </w:r>
    </w:p>
    <w:p>
      <w:r>
        <w:rPr>
          <w:color w:val="555555"/>
          <w:sz w:val="18"/>
        </w:rPr>
        <w:t xml:space="preserve">Verordnung über den automatisierten Abruf von Daten der Träger der Leistungen nach dem Zweiten und Dritten Buch Sozialgesetzbuch durch die Familienkasse der Bundesagentur für Arbeit zur Prüfung des Anspruchs auf Kindergeld</w:t>
      </w:r>
    </w:p>
    <w:p>
      <w:r>
        <w:rPr>
          <w:color w:val="555555"/>
          <w:sz w:val="18"/>
        </w:rPr>
        <w:t xml:space="preserve">Stand: 02.04.2026 (konsolidierte Textfassung, kein amtliches Inkrafttretensdatum)</w:t>
      </w:r>
    </w:p>
    <w:p>
      <w:r>
        <w:t xml:space="preserve">(1) Der automatisierte Abruf von Daten nach § 1 bedarf einer Abrufberechtigung. Die Abrufberechtigung kann für Beschäftigte der Familienkasse der Bundesagentur für Arbeit auf Antrag erteilt werden. Die Abrufberechtigung erteilt der zuständige Träger nach § 1. Eine Abrufberechtigung kann von der abrufberechtigten Stelle auch für automatisierte Abrufe durch entscheidungsvorbereitende Systeme und Entscheidungssysteme genutzt werden.</w:t>
      </w:r>
    </w:p>
    <w:p>
      <w:r>
        <w:t xml:space="preserve">(2) Beschäftigte nach Absatz 1 sind Amtsträger nach § 7 der Abgabenordnung oder gleichgestellte Personen nach § 30 Absatz 3 Nummer 1 der Abgabenordnung, die über den Anspruch auf Kindergeld unter Verwendung personenbezogener Daten zu entscheiden haben.</w:t>
      </w:r>
    </w:p>
    <w:p>
      <w:r>
        <w:rPr>
          <w:color w:val="555555"/>
          <w:sz w:val="17"/>
        </w:rPr>
        <w:t xml:space="preserve">Zitiervorschlag: § 2 FamkaKiGAbrV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https://recht.nulegal.eu/gesetze/FamkaKiGAbrV/2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