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FamGKG — Fälligkeit der Gebühren in Ehesachen und selbständigen Familienstreitsachen</w:t>
      </w:r>
    </w:p>
    <w:p>
      <w:r>
        <w:rPr>
          <w:color w:val="555555"/>
          <w:sz w:val="18"/>
        </w:rPr>
        <w:t xml:space="preserve">Gesetz über Gerichtskosten in Familiensachen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Ehesachen und in selbständigen Familienstreitsachen wird die Verfahrensgebühr mit der Einreichung der Antragsschrift, der Einspruchs- oder Rechtsmittelschrift oder mit der Abgabe der entsprechenden Erklärung zu Protokoll fällig.</w:t>
      </w:r>
    </w:p>
    <w:p>
      <w:r>
        <w:t xml:space="preserve">(2) Soweit die Gebühr eine Entscheidung oder sonstige gerichtliche Handlung voraussetzt, wird sie mit dieser fällig.</w:t>
      </w:r>
    </w:p>
    <w:p>
      <w:r>
        <w:rPr>
          <w:color w:val="555555"/>
          <w:sz w:val="17"/>
        </w:rPr>
        <w:t xml:space="preserve">Zitiervorschlag: § 9 FamGKG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https://recht.nulegal.eu/gesetze/FamGKG/9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