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52 FamGKG — Güterrechtssachen</w:t>
      </w:r>
    </w:p>
    <w:p>
      <w:r>
        <w:rPr>
          <w:color w:val="555555"/>
          <w:sz w:val="18"/>
        </w:rPr>
        <w:t xml:space="preserve">Gesetz über Gerichtskosten in Familiensachen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in einer Güterrechtssache, die Familienstreitsache ist, auch über einen Antrag nach § 1382 Abs. 5 oder nach § 1383 Abs. 3 des Bürgerlichen Gesetzbuchs entschieden, handelt es sich um ein Verfahren. Die Werte werden zusammengerechnet.</w:t>
      </w:r>
    </w:p>
    <w:p>
      <w:r>
        <w:rPr>
          <w:color w:val="555555"/>
          <w:sz w:val="17"/>
        </w:rPr>
        <w:t xml:space="preserve">Zitiervorschlag: § 52 FamGKG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https://recht.nulegal.eu/gesetze/FamGKG/52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