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FamGKG — Lebenspartnerschaftssachen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Lebenspartnerschaftssachen nach § 269 des Gesetzes über das Verfahren in Familiensachen und in den Angelegenheiten der freiwilligen Gerichtsbarkeit sind für</w:t>
      </w:r>
    </w:p>
    <w:p>
      <w:pPr>
        <w:ind w:left="420"/>
      </w:pPr>
      <w:r>
        <w:t xml:space="preserve">1. Verfahren nach Absatz 1 Nr. 1 dieser Vorschrift die Vorschriften für das Verfahren auf Scheidung der Ehe,</w:t>
      </w:r>
    </w:p>
    <w:p>
      <w:pPr>
        <w:ind w:left="420"/>
      </w:pPr>
      <w:r>
        <w:t xml:space="preserve">2. Verfahren nach Absatz 1 Nr. 2 dieser Vorschrift die Vorschriften für das Verfahren auf Feststellung des Bestehens oder Nichtbestehens einer Ehe zwischen den Beteiligten,</w:t>
      </w:r>
    </w:p>
    <w:p>
      <w:pPr>
        <w:ind w:left="420"/>
      </w:pPr>
      <w:r>
        <w:t xml:space="preserve">3. Verfahren nach Absatz 1 Nr. 3 bis 12 dieser Vorschrift die Vorschriften für Familiensachen nach § 111 Nr. 2, 4, 5 und 7 bis 9 des Gesetzes über das Verfahren in Familiensachen und in den Angelegenheiten der freiwilligen Gerichtsbarkeit und</w:t>
      </w:r>
    </w:p>
    <w:p>
      <w:pPr>
        <w:ind w:left="420"/>
      </w:pPr>
      <w:r>
        <w:t xml:space="preserve">4. Verfahren nach den Absätzen 2 und 3 dieser Vorschrift die Vorschriften für sonstige Familiensachen nach § 111 Nr. 10 des Gesetzes über das Verfahren in Familiensachen und in den Angelegenheiten der freiwilligen Gerichtsbarkeit</w:t>
      </w:r>
    </w:p>
    <w:p>
      <w:r>
        <w:t xml:space="preserve">entsprechend anzuwenden.</w:t>
      </w:r>
    </w:p>
    <w:p>
      <w:r>
        <w:rPr>
          <w:color w:val="555555"/>
          <w:sz w:val="17"/>
        </w:rPr>
        <w:t xml:space="preserve">Zitiervorschlag: § 5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