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FamGKG — Übrige Kindschaftssachen</w:t>
      </w:r>
    </w:p>
    <w:p>
      <w:r>
        <w:rPr>
          <w:color w:val="555555"/>
          <w:sz w:val="18"/>
        </w:rPr>
        <w:t xml:space="preserve">Gesetz über Gerichtskosten in Familiensachen</w:t>
      </w:r>
    </w:p>
    <w:p>
      <w:r>
        <w:rPr>
          <w:color w:val="555555"/>
          <w:sz w:val="18"/>
        </w:rPr>
        <w:t xml:space="preserve">Stand: 10.06.2019 (konsolidierte Textfassung, kein amtliches Inkrafttretensdatum)</w:t>
      </w:r>
    </w:p>
    <w:p>
      <w:r>
        <w:t xml:space="preserve">(1) Wenn Gegenstand einer Kindschaftssache eine vermögensrechtliche Angelegenheit ist, gelten § 38 des Gerichts- und Notarkostengesetzes und die für eine Beurkundung geltenden besonderen Geschäftswert- und Bewertungsvorschriften des Gerichts- und Notarkostengesetzes entsprechend.</w:t>
      </w:r>
    </w:p>
    <w:p>
      <w:r>
        <w:t xml:space="preserve">(2) Bei Pflegschaften für einzelne Rechtshandlungen bestimmt sich der Verfahrenswert nach dem Wert des Gegenstands, auf den sich die Rechtshandlung bezieht. Bezieht sich die Pflegschaft auf eine gegenwärtige oder künftige Mitberechtigung, ermäßigt sich der Wert auf den Bruchteil, der dem Anteil der Mitberechtigung entspricht. Bei Gesamthandsverhältnissen ist der Anteil entsprechend der Beteiligung an dem Gesamthandvermögen zu bemessen.</w:t>
      </w:r>
    </w:p>
    <w:p>
      <w:r>
        <w:t xml:space="preserve">(3) Der Wert beträgt in jedem Fall höchstens 1 Million Euro.</w:t>
      </w:r>
    </w:p>
    <w:p>
      <w:r>
        <w:rPr>
          <w:color w:val="555555"/>
          <w:sz w:val="17"/>
        </w:rPr>
        <w:t xml:space="preserve">Zitiervorschlag: § 46 FamGKG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https://recht.nulegal.eu/gesetze/FamGKG/46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