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 FamGKG — Bestimmte Kindschaftssachen</w:t>
      </w:r>
    </w:p>
    <w:p>
      <w:r>
        <w:rPr>
          <w:color w:val="555555"/>
          <w:sz w:val="18"/>
        </w:rPr>
        <w:t xml:space="preserve">Gesetz über Gerichtskosten in Familiensachen</w:t>
      </w:r>
    </w:p>
    <w:p>
      <w:r>
        <w:rPr>
          <w:color w:val="555555"/>
          <w:sz w:val="18"/>
        </w:rPr>
        <w:t xml:space="preserve">Stand: 01.06.2025 (konsolidierte Textfassung, kein amtliches Inkrafttretensdatum)</w:t>
      </w:r>
    </w:p>
    <w:p>
      <w:r>
        <w:t xml:space="preserve">(1) In einer Kindschaftssache, die</w:t>
      </w:r>
    </w:p>
    <w:p>
      <w:pPr>
        <w:ind w:left="420"/>
      </w:pPr>
      <w:r>
        <w:t xml:space="preserve">1. die Übertragung oder Entziehung der elterlichen Sorge oder eines Teils der elterlichen Sorge,</w:t>
      </w:r>
    </w:p>
    <w:p>
      <w:pPr>
        <w:ind w:left="420"/>
      </w:pPr>
      <w:r>
        <w:t xml:space="preserve">2. das Umgangsrecht einschließlich der Umgangspflegschaft,</w:t>
      </w:r>
    </w:p>
    <w:p>
      <w:pPr>
        <w:ind w:left="420"/>
      </w:pPr>
      <w:r>
        <w:t xml:space="preserve">3. das Recht auf Auskunft über die persönlichen Verhältnisse des Kindes,</w:t>
      </w:r>
    </w:p>
    <w:p>
      <w:pPr>
        <w:ind w:left="420"/>
      </w:pPr>
      <w:r>
        <w:t xml:space="preserve">4. die Kindesherausgabe oder</w:t>
      </w:r>
    </w:p>
    <w:p>
      <w:pPr>
        <w:ind w:left="420"/>
      </w:pPr>
      <w:r>
        <w:t xml:space="preserve">5. die Genehmigung einer Einwilligung in einen operativen Eingriff bei einem Kind mit einer Variante der Geschlechtsentwicklung (§ 1631e Absatz 3 des Bürgerlichen Gesetzbuchs)</w:t>
      </w:r>
    </w:p>
    <w:p>
      <w:r>
        <w:t xml:space="preserve">betrifft, beträgt der Verfahrenswert 5 000 Euro.</w:t>
      </w:r>
    </w:p>
    <w:p>
      <w:r>
        <w:t xml:space="preserve">(2) Eine Kindschaftssache nach Absatz 1 ist auch dann als ein Gegenstand zu bewerten, wenn sie mehrere Kinder betrifft.</w:t>
      </w:r>
    </w:p>
    <w:p>
      <w:r>
        <w:t xml:space="preserve">(3) Ist der nach Absatz 1 bestimmte Wert nach den besonderen Umständen des Einzelfalls unbillig, kann das Gericht einen höheren oder einen niedrigeren Wert festsetzen.</w:t>
      </w:r>
    </w:p>
    <w:p>
      <w:r>
        <w:rPr>
          <w:color w:val="555555"/>
          <w:sz w:val="17"/>
        </w:rPr>
        <w:t xml:space="preserve">Zitiervorschlag: § 45 FamGKG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https://recht.nulegal.eu/gesetze/FamGKG/45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