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FamGKG — Verbund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Die Scheidungssache und die Folgesachen gelten als ein Verfahren.</w:t>
      </w:r>
    </w:p>
    <w:p>
      <w:r>
        <w:t xml:space="preserve">(2) Sind in § 137 Abs. 3 des Gesetzes über das Verfahren in Familiensachen und in den Angelegenheiten der freiwilligen Gerichtsbarkeit genannte Kindschaftssachen Folgesachen, erhöht sich der Verfahrenswert nach § 43 für jede Kindschaftssache um 20 Prozent, höchstens um jeweils 5 000 Euro; eine Kindschaftssache ist auch dann als ein Gegenstand zu bewerten, wenn sie mehrere Kinder betrifft. Die Werte der übrigen Folgesachen werden hinzugerechnet. § 33 Abs. 1 Satz 2 ist nicht anzuwenden.</w:t>
      </w:r>
    </w:p>
    <w:p>
      <w:r>
        <w:t xml:space="preserve">(3) Ist der Betrag, um den sich der Verfahrenswert der Ehesache erhöht (Absatz 2), nach den besonderen Umständen des Einzelfalls unbillig, kann das Gericht einen höheren oder einen niedrigeren Betrag berücksichtigen.</w:t>
      </w:r>
    </w:p>
    <w:p>
      <w:r>
        <w:rPr>
          <w:color w:val="555555"/>
          <w:sz w:val="17"/>
        </w:rPr>
        <w:t xml:space="preserve">Zitiervorschlag: § 44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