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FamGKG — Ehesachen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Ehesachen ist der Verfahrenswert unter Berücksichtigung aller Umstände des Einzelfalls, insbesondere des Umfangs und der Bedeutung der Sache und der Vermögens- und Einkommensverhältnisse der Ehegatten, nach Ermessen zu bestimmen. Der Wert darf nicht unter 3 000 Euro und nicht über 1 Million Euro angenommen werden.</w:t>
      </w:r>
    </w:p>
    <w:p>
      <w:r>
        <w:t xml:space="preserve">(2) Für die Einkommensverhältnisse ist das in drei Monaten erzielte Nettoeinkommen der Ehegatten einzusetzen.</w:t>
      </w:r>
    </w:p>
    <w:p>
      <w:r>
        <w:rPr>
          <w:color w:val="555555"/>
          <w:sz w:val="17"/>
        </w:rPr>
        <w:t xml:space="preserve">Zitiervorschlag: § 43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