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42 FamGKG — Auffangwert</w:t>
      </w:r>
    </w:p>
    <w:p>
      <w:r>
        <w:rPr>
          <w:color w:val="555555"/>
          <w:sz w:val="18"/>
        </w:rPr>
        <w:t xml:space="preserve">Gesetz über Gerichtskosten in Familiensachen</w:t>
      </w:r>
    </w:p>
    <w:p>
      <w:r>
        <w:rPr>
          <w:color w:val="555555"/>
          <w:sz w:val="18"/>
        </w:rPr>
        <w:t xml:space="preserve">Stand: 10.06.2019 (konsolidierte Textfassung, kein amtliches Inkrafttretensdatum)</w:t>
      </w:r>
    </w:p>
    <w:p>
      <w:r>
        <w:t xml:space="preserve">(1) Soweit in einer vermögensrechtlichen Angelegenheit der Verfahrenswert sich aus den Vorschriften dieses Gesetzes nicht ergibt und auch sonst nicht feststeht, ist er nach billigem Ermessen zu bestimmen.</w:t>
      </w:r>
    </w:p>
    <w:p>
      <w:r>
        <w:t xml:space="preserve">(2) Soweit in einer nichtvermögensrechtlichen Angelegenheit der Verfahrenswert sich aus den Vorschriften dieses Gesetzes nicht ergibt, ist er unter Berücksichtigung aller Umstände des Einzelfalls, insbesondere des Umfangs und der Bedeutung der Sache und der Vermögens- und Einkommensverhältnisse der Beteiligten, nach billigem Ermessen zu bestimmen, jedoch nicht über 500 000 Euro.</w:t>
      </w:r>
    </w:p>
    <w:p>
      <w:r>
        <w:t xml:space="preserve">(3) Bestehen in den Fällen der Absätze 1 und 2 keine genügenden Anhaltspunkte, ist von einem Wert von 5 000 Euro auszugehen.</w:t>
      </w:r>
    </w:p>
    <w:p>
      <w:r>
        <w:rPr>
          <w:color w:val="555555"/>
          <w:sz w:val="17"/>
        </w:rPr>
        <w:t xml:space="preserve">Zitiervorschlag: § 42 FamGKG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https://recht.nulegal.eu/gesetze/FamGKG/42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