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FamGKG — Höhe der Kosten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richten sich nach dem Wert des Verfahrensgegenstands (Verfahrenswert), soweit nichts anderes bestimmt ist.</w:t>
      </w:r>
    </w:p>
    <w:p>
      <w:r>
        <w:t xml:space="preserve">(2) Kosten werden nach dem Kostenverzeichnis der Anlage 1 zu diesem Gesetz erhoben.</w:t>
      </w:r>
    </w:p>
    <w:p>
      <w:r>
        <w:rPr>
          <w:color w:val="555555"/>
          <w:sz w:val="17"/>
        </w:rPr>
        <w:t xml:space="preserve">Zitiervorschlag: § 3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