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 FamGKG — Mehrere Kostenschuldner</w:t>
      </w:r>
    </w:p>
    <w:p>
      <w:r>
        <w:rPr>
          <w:color w:val="555555"/>
          <w:sz w:val="18"/>
        </w:rPr>
        <w:t xml:space="preserve">Gesetz über Gerichtskosten in Familiensachen</w:t>
      </w:r>
    </w:p>
    <w:p>
      <w:r>
        <w:rPr>
          <w:color w:val="555555"/>
          <w:sz w:val="18"/>
        </w:rPr>
        <w:t xml:space="preserve">Stand: 10.06.2019 (konsolidierte Textfassung, kein amtliches Inkrafttretensdatum)</w:t>
      </w:r>
    </w:p>
    <w:p>
      <w:r>
        <w:t xml:space="preserve">(1) Mehrere Kostenschuldner haften als Gesamtschuldner.</w:t>
      </w:r>
    </w:p>
    <w:p>
      <w:r>
        <w:t xml:space="preserve">(2) Soweit ein Kostenschuldner aufgrund von § 24 Nr. 1 oder Nr. 2 (Erstschuldner) haftet, soll die Haftung eines anderen Kostenschuldners nur geltend gemacht werden, wenn eine Zwangsvollstreckung in das bewegliche Vermögen des ersteren erfolglos geblieben ist oder aussichtslos erscheint. Zahlungen des Erstschuldners mindern seine Haftung aufgrund anderer Vorschriften dieses Gesetzes auch dann in voller Höhe, wenn sich seine Haftung nur auf einen Teilbetrag bezieht.</w:t>
      </w:r>
    </w:p>
    <w:p>
      <w:r>
        <w:t xml:space="preserve">(3) Soweit einem Kostenschuldner, der aufgrund von § 24 Nr. 1 haftet (Entscheidungsschuldner), Verfahrenskostenhilfe bewilligt worden ist, darf die Haftung eines anderen Kostenschuldners nicht geltend gemacht werden; von diesem bereits erhobene Kosten sind zurückzuzahlen, soweit es sich nicht um eine Zahlung nach § 13 Abs. 1 und 3 des Justizvergütungs- und -entschädigungsgesetzes handelt und die Partei, der die Verfahrenskostenhilfe bewilligt worden ist, der besonderen Vergütung zugestimmt hat. Die Haftung eines anderen Kostenschuldners darf auch nicht geltend gemacht werden, soweit dem Entscheidungsschuldner ein Betrag für die Reise zum Ort einer Verhandlung, Anhörung oder Untersuchung und für die Rückreise gewährt worden ist.</w:t>
      </w:r>
    </w:p>
    <w:p>
      <w:r>
        <w:t xml:space="preserve">(4) Absatz 3 ist entsprechend anzuwenden, soweit der Kostenschuldner aufgrund des § 24 Nummer 2 haftet, wenn</w:t>
      </w:r>
    </w:p>
    <w:p>
      <w:pPr>
        <w:ind w:left="420"/>
      </w:pPr>
      <w:r>
        <w:t xml:space="preserve">1. der Kostenschuldner die Kosten in einem vor Gericht abgeschlossenen, gegenüber dem Gericht angenommenen oder in einem gerichtlich gebilligten Vergleich übernommen hat,</w:t>
      </w:r>
    </w:p>
    <w:p>
      <w:pPr>
        <w:ind w:left="420"/>
      </w:pPr>
      <w:r>
        <w:t xml:space="preserve">2. der Vergleich einschließlich der Verteilung der Kosten, bei einem gerichtlich gebilligten Vergleich allein die Verteilung der Kosten, von dem Gericht vorgeschlagen worden ist und</w:t>
      </w:r>
    </w:p>
    <w:p>
      <w:pPr>
        <w:ind w:left="420"/>
      </w:pPr>
      <w:r>
        <w:t xml:space="preserve">3. das Gericht in seinem Vergleichsvorschlag ausdrücklich festgestellt hat, dass die Kostenregelung der sonst zu erwartenden Kostenentscheidung entspricht.</w:t>
      </w:r>
    </w:p>
    <w:p>
      <w:r>
        <w:rPr>
          <w:color w:val="555555"/>
          <w:sz w:val="17"/>
        </w:rPr>
        <w:t xml:space="preserve">Zitiervorschlag: § 26 FamGKG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https://recht.nulegal.eu/gesetze/FamGKG/26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