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FamGKG — Kostenschuldner in Antragsverfahren, Vergleich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Verfahren, die nur durch Antrag eingeleitet werden, schuldet die Kosten, wer das Verfahren des Rechtszugs beantragt hat. Dies gilt nicht</w:t>
      </w:r>
    </w:p>
    <w:p>
      <w:pPr>
        <w:ind w:left="420"/>
      </w:pPr>
      <w:r>
        <w:t xml:space="preserve">1. für den ersten Rechtszug in Gewaltschutzsachen und in Verfahren nach dem EU-Gewaltschutzverfahrensgesetz,</w:t>
      </w:r>
    </w:p>
    <w:p>
      <w:pPr>
        <w:ind w:left="420"/>
      </w:pPr>
      <w:r>
        <w:t xml:space="preserve">2. im Verfahren auf Erlass einer gerichtlichen Anordnung auf Rückgabe des Kindes oder über das Recht zum persönlichen Umgang nach dem Internationalen Familienrechtsverfahrensgesetz,</w:t>
      </w:r>
    </w:p>
    <w:p>
      <w:pPr>
        <w:ind w:left="420"/>
      </w:pPr>
      <w:r>
        <w:t xml:space="preserve">3. für einen Minderjährigen in Verfahren, die seine Person betreffen, und</w:t>
      </w:r>
    </w:p>
    <w:p>
      <w:pPr>
        <w:ind w:left="420"/>
      </w:pPr>
      <w:r>
        <w:t xml:space="preserve">4. für einen Verfahrensbeistand.</w:t>
      </w:r>
    </w:p>
    <w:p>
      <w:r>
        <w:t xml:space="preserve">Im Verfahren, das gemäß § 700 Abs. 3 der Zivilprozessordnung dem Mahnverfahren folgt, schuldet die Kosten, wer den Vollstreckungsbescheid beantragt hat.</w:t>
      </w:r>
    </w:p>
    <w:p>
      <w:r>
        <w:t xml:space="preserve">(2) Die Gebühr für den Abschluss eines gerichtlichen Vergleichs schuldet jeder, der an dem Abschluss beteiligt ist.</w:t>
      </w:r>
    </w:p>
    <w:p>
      <w:r>
        <w:rPr>
          <w:color w:val="555555"/>
          <w:sz w:val="17"/>
        </w:rPr>
        <w:t xml:space="preserve">Zitiervorschlag: § 21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