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FamGKG — Kostenfreiheit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und die Länder sowie die nach Haushaltsplänen des Bundes oder eines Landes verwalteten öffentlichen Anstalten und Kassen sind von der Zahlung der Kosten befreit.</w:t>
      </w:r>
    </w:p>
    <w:p>
      <w:r>
        <w:t xml:space="preserve">(2) Sonstige bundesrechtliche oder landesrechtliche Vorschriften, durch die eine sachliche oder persönliche Befreiung von Kosten gewährt ist, bleiben unberührt.</w:t>
      </w:r>
    </w:p>
    <w:p>
      <w:r>
        <w:t xml:space="preserve">(3) Soweit jemandem, der von Kosten befreit ist, Kosten des Verfahrens auferlegt werden, sind Kosten nicht zu erheben; bereits erhobene Kosten sind zurückzuzahlen. Das Gleiche gilt, soweit ein von der Zahlung der Kosten befreiter Beteiligter Kosten des Verfahrens übernimmt.</w:t>
      </w:r>
    </w:p>
    <w:p>
      <w:r>
        <w:rPr>
          <w:color w:val="555555"/>
          <w:sz w:val="17"/>
        </w:rPr>
        <w:t xml:space="preserve">Zitiervorschlag: § 2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