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FamGKG — Fälligkeit der Gebühren in sonstigen Fällen, Fälligkeit der Auslagen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Übrigen werden die Gebühren und die Auslagen fällig, wenn</w:t>
      </w:r>
    </w:p>
    <w:p>
      <w:pPr>
        <w:ind w:left="420"/>
      </w:pPr>
      <w:r>
        <w:t xml:space="preserve">1. eine unbedingte Entscheidung über die Kosten ergangen ist,</w:t>
      </w:r>
    </w:p>
    <w:p>
      <w:pPr>
        <w:ind w:left="420"/>
      </w:pPr>
      <w:r>
        <w:t xml:space="preserve">2. das Verfahren oder der Rechtszug durch Vergleich oder Zurücknahme beendet ist,</w:t>
      </w:r>
    </w:p>
    <w:p>
      <w:pPr>
        <w:ind w:left="420"/>
      </w:pPr>
      <w:r>
        <w:t xml:space="preserve">3. das Verfahren sechs Monate ruht oder sechs Monate nicht betrieben worden ist,</w:t>
      </w:r>
    </w:p>
    <w:p>
      <w:pPr>
        <w:ind w:left="420"/>
      </w:pPr>
      <w:r>
        <w:t xml:space="preserve">4. das Verfahren sechs Monate unterbrochen oder sechs Monate ausgesetzt war oder</w:t>
      </w:r>
    </w:p>
    <w:p>
      <w:pPr>
        <w:ind w:left="420"/>
      </w:pPr>
      <w:r>
        <w:t xml:space="preserve">5. das Verfahren durch anderweitige Erledigung beendet ist.</w:t>
      </w:r>
    </w:p>
    <w:p>
      <w:r>
        <w:t xml:space="preserve">(2) Die Dokumentenpauschale sowie die Auslagen für die Versendung von Akten werden sofort nach ihrer Entstehung fällig.</w:t>
      </w:r>
    </w:p>
    <w:p>
      <w:r>
        <w:rPr>
          <w:color w:val="555555"/>
          <w:sz w:val="17"/>
        </w:rPr>
        <w:t xml:space="preserve">Zitiervorschlag: § 11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