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FamGKG — Geltungsbereich</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In Familiensachen einschließlich der Vollstreckung durch das Familiengericht und für Verfahren vor dem Oberlandesgericht nach § 107 des Gesetzes über das Verfahren in Familiensachen und in den Angelegenheiten der freiwilligen Gerichtsbarkeit werden Kosten (Gebühren und Auslagen) nur nach diesem Gesetz erhoben, soweit nichts anderes bestimmt ist. Dies gilt auch für Verfahren über eine Beschwerde, die mit einem Verfahren nach Satz 1 in Zusammenhang steht. Für das Mahnverfahren werden Kosten nach dem Gerichtskostengesetz erhoben.</w:t>
      </w:r>
    </w:p>
    <w:p>
      <w:r>
        <w:t xml:space="preserve">(2) Die Vorschriften dieses Gesetzes über die Erinnerung und die Beschwerde gehen den Regelungen der für das zugrunde liegende Verfahren geltenden Verfahrensvorschriften vor.</w:t>
      </w:r>
    </w:p>
    <w:p>
      <w:r>
        <w:rPr>
          <w:color w:val="555555"/>
          <w:sz w:val="17"/>
        </w:rPr>
        <w:t xml:space="preserve">Zitiervorschlag: § 1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