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FamFG — Kindschaftssachen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deutschen Gerichte sind außer in Verfahren nach § 151 Nr. 7 zuständig, wenn das Kind</w:t>
      </w:r>
    </w:p>
    <w:p>
      <w:pPr>
        <w:ind w:left="420"/>
      </w:pPr>
      <w:r>
        <w:t xml:space="preserve">1. Deutscher ist oder</w:t>
      </w:r>
    </w:p>
    <w:p>
      <w:pPr>
        <w:ind w:left="420"/>
      </w:pPr>
      <w:r>
        <w:t xml:space="preserve">2. seinen gewöhnlichen Aufenthalt im Inland hat.</w:t>
      </w:r>
    </w:p>
    <w:p>
      <w:r>
        <w:t xml:space="preserve">Die deutschen Gerichte sind ferner zuständig, soweit das Kind der Fürsorge durch ein deutsches Gericht bedarf.</w:t>
      </w:r>
    </w:p>
    <w:p>
      <w:r>
        <w:t xml:space="preserve">(2) Sind für die Anordnung einer Vormundschaft sowohl die deutschen Gerichte als auch die Gerichte eines anderen Staates zuständig und ist die Vormundschaft in dem anderen Staat anhängig, kann die Anordnung der Vormundschaft im Inland unterbleiben, wenn dies im Interesse des Mündels liegt.</w:t>
      </w:r>
    </w:p>
    <w:p>
      <w:r>
        <w:t xml:space="preserve">(3) Sind für die Anordnung einer Vormundschaft sowohl die deutschen Gerichte als auch die Gerichte eines anderen Staates zuständig und besteht die Vormundschaft im Inland, kann das Gericht, bei dem die Vormundschaft anhängig ist, sie an den Staat, dessen Gerichte für die Anordnung der Vormundschaft zuständig sind, abgeben, wenn dies im Interesse des Mündels liegt, der Vormund seine Zustimmung erteilt und dieser Staat sich zur Übernahme bereit erklärt. Verweigert der Vormund oder, wenn mehrere Vormünder die Vormundschaft gemeinschaftlich führen, einer von ihnen seine Zustimmung, so entscheidet anstelle des Gerichts, bei dem die Vormundschaft anhängig ist, das im Rechtszug übergeordnete Gericht. Der Beschluss ist nicht anfechtbar.</w:t>
      </w:r>
    </w:p>
    <w:p>
      <w:r>
        <w:t xml:space="preserve">(4) Die Absätze 2 und 3 gelten entsprechend für Verfahren nach § 151 Nr. 5 und 6.</w:t>
      </w:r>
    </w:p>
    <w:p>
      <w:r>
        <w:rPr>
          <w:color w:val="555555"/>
          <w:sz w:val="17"/>
        </w:rPr>
        <w:t xml:space="preserve">Zitiervorschlag: § 99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